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E0D" w:rsidRDefault="008C1E0D" w:rsidP="008C1E0D">
      <w:pPr>
        <w:spacing w:after="0"/>
        <w:rPr>
          <w:b/>
          <w:color w:val="6B4B1E"/>
          <w:sz w:val="28"/>
          <w:szCs w:val="24"/>
        </w:rPr>
      </w:pPr>
    </w:p>
    <w:p w:rsidR="008C1E0D" w:rsidRPr="008C1E0D" w:rsidRDefault="008C1E0D" w:rsidP="008C1E0D">
      <w:pPr>
        <w:spacing w:after="0"/>
        <w:rPr>
          <w:b/>
          <w:color w:val="6B4B1E"/>
          <w:sz w:val="28"/>
          <w:szCs w:val="24"/>
        </w:rPr>
      </w:pPr>
      <w:r w:rsidRPr="008C1E0D">
        <w:rPr>
          <w:b/>
          <w:color w:val="6B4B1E"/>
          <w:sz w:val="28"/>
          <w:szCs w:val="24"/>
        </w:rPr>
        <w:t>Technical Assistance Brief:</w:t>
      </w:r>
    </w:p>
    <w:p w:rsidR="008C1E0D" w:rsidRPr="008C1E0D" w:rsidRDefault="008C1E0D" w:rsidP="008C1E0D">
      <w:pPr>
        <w:rPr>
          <w:b/>
          <w:color w:val="6B4B1E"/>
          <w:sz w:val="28"/>
          <w:szCs w:val="24"/>
        </w:rPr>
      </w:pPr>
      <w:r w:rsidRPr="008C1E0D">
        <w:rPr>
          <w:b/>
          <w:color w:val="6B4B1E"/>
          <w:sz w:val="28"/>
          <w:szCs w:val="24"/>
        </w:rPr>
        <w:t>Assessing Lead-Based Paint Hazard Control Treatment Post-Remediation</w:t>
      </w:r>
    </w:p>
    <w:p w:rsidR="00532079" w:rsidRPr="008C1E0D" w:rsidRDefault="008C1E0D" w:rsidP="008C1E0D">
      <w:pPr>
        <w:rPr>
          <w:color w:val="6B4B1E"/>
          <w:sz w:val="28"/>
          <w:szCs w:val="24"/>
        </w:rPr>
      </w:pPr>
      <w:r w:rsidRPr="008C1E0D">
        <w:rPr>
          <w:color w:val="6B4B1E"/>
          <w:sz w:val="28"/>
          <w:szCs w:val="24"/>
        </w:rPr>
        <w:t>Attachment</w:t>
      </w:r>
      <w:r w:rsidR="003D1702" w:rsidRPr="008C1E0D">
        <w:rPr>
          <w:color w:val="6B4B1E"/>
          <w:sz w:val="28"/>
          <w:szCs w:val="24"/>
        </w:rPr>
        <w:t xml:space="preserve"> B</w:t>
      </w:r>
      <w:r w:rsidR="00C14710" w:rsidRPr="008C1E0D">
        <w:rPr>
          <w:color w:val="6B4B1E"/>
          <w:sz w:val="28"/>
          <w:szCs w:val="24"/>
        </w:rPr>
        <w:t>.1</w:t>
      </w:r>
      <w:r w:rsidR="003D1702" w:rsidRPr="008C1E0D">
        <w:rPr>
          <w:color w:val="6B4B1E"/>
          <w:sz w:val="28"/>
          <w:szCs w:val="24"/>
        </w:rPr>
        <w:t>: Suggested Methods for Analyzing</w:t>
      </w:r>
      <w:r w:rsidR="00DC6D46" w:rsidRPr="008C1E0D">
        <w:rPr>
          <w:color w:val="6B4B1E"/>
          <w:sz w:val="28"/>
          <w:szCs w:val="24"/>
        </w:rPr>
        <w:t xml:space="preserve"> </w:t>
      </w:r>
      <w:r w:rsidR="003D1702" w:rsidRPr="008C1E0D">
        <w:rPr>
          <w:color w:val="6B4B1E"/>
          <w:sz w:val="28"/>
          <w:szCs w:val="24"/>
        </w:rPr>
        <w:t xml:space="preserve">Visual Assessment Data </w:t>
      </w:r>
      <w:r w:rsidR="00EF1D38">
        <w:rPr>
          <w:color w:val="6B4B1E"/>
          <w:sz w:val="28"/>
          <w:szCs w:val="24"/>
        </w:rPr>
        <w:br/>
      </w:r>
      <w:r w:rsidR="003D1702" w:rsidRPr="008C1E0D">
        <w:rPr>
          <w:color w:val="6B4B1E"/>
          <w:sz w:val="28"/>
          <w:szCs w:val="24"/>
        </w:rPr>
        <w:t>of Paint Condition and Windows at Baseline and Post-Remediation Time Intervals</w:t>
      </w:r>
    </w:p>
    <w:p w:rsidR="00DC6D46" w:rsidRPr="00DC6D46" w:rsidRDefault="00DC6D46">
      <w:pPr>
        <w:rPr>
          <w:sz w:val="24"/>
          <w:szCs w:val="24"/>
        </w:rPr>
      </w:pPr>
      <w:r>
        <w:rPr>
          <w:sz w:val="24"/>
          <w:szCs w:val="24"/>
        </w:rPr>
        <w:t xml:space="preserve">This document outlines the types of analyses </w:t>
      </w:r>
      <w:r w:rsidR="008C1E0D">
        <w:rPr>
          <w:sz w:val="24"/>
          <w:szCs w:val="24"/>
        </w:rPr>
        <w:t>state and local childhood lead poisoning prevention programs</w:t>
      </w:r>
      <w:r w:rsidR="008C1E0D" w:rsidRPr="003467F8">
        <w:rPr>
          <w:sz w:val="24"/>
          <w:szCs w:val="24"/>
        </w:rPr>
        <w:t xml:space="preserve"> </w:t>
      </w:r>
      <w:r w:rsidR="004B49DF">
        <w:rPr>
          <w:sz w:val="24"/>
          <w:szCs w:val="24"/>
        </w:rPr>
        <w:t xml:space="preserve">can </w:t>
      </w:r>
      <w:r>
        <w:rPr>
          <w:sz w:val="24"/>
          <w:szCs w:val="24"/>
        </w:rPr>
        <w:t xml:space="preserve">do to compare visual assessment data at baseline and post-remediation time intervals. This document uses the visual assessment and data entry templates provided in </w:t>
      </w:r>
      <w:r w:rsidR="00EF1D38">
        <w:rPr>
          <w:sz w:val="24"/>
          <w:szCs w:val="24"/>
        </w:rPr>
        <w:t xml:space="preserve">attachments </w:t>
      </w:r>
      <w:r w:rsidR="008C1E0D">
        <w:rPr>
          <w:sz w:val="24"/>
          <w:szCs w:val="24"/>
        </w:rPr>
        <w:t>B.2 and B.3</w:t>
      </w:r>
      <w:r>
        <w:rPr>
          <w:sz w:val="24"/>
          <w:szCs w:val="24"/>
        </w:rPr>
        <w:t xml:space="preserve"> </w:t>
      </w:r>
      <w:r w:rsidR="00373D4F">
        <w:rPr>
          <w:sz w:val="24"/>
          <w:szCs w:val="24"/>
        </w:rPr>
        <w:t xml:space="preserve">as examples </w:t>
      </w:r>
      <w:r>
        <w:rPr>
          <w:sz w:val="24"/>
          <w:szCs w:val="24"/>
        </w:rPr>
        <w:t xml:space="preserve">to describe the </w:t>
      </w:r>
      <w:r w:rsidR="004B49DF">
        <w:rPr>
          <w:sz w:val="24"/>
          <w:szCs w:val="24"/>
        </w:rPr>
        <w:t xml:space="preserve">possible </w:t>
      </w:r>
      <w:r>
        <w:rPr>
          <w:sz w:val="24"/>
          <w:szCs w:val="24"/>
        </w:rPr>
        <w:t xml:space="preserve">analyses. </w:t>
      </w:r>
      <w:r w:rsidR="003A4F29">
        <w:rPr>
          <w:sz w:val="24"/>
          <w:szCs w:val="24"/>
        </w:rPr>
        <w:t>N</w:t>
      </w:r>
      <w:r>
        <w:rPr>
          <w:sz w:val="24"/>
          <w:szCs w:val="24"/>
        </w:rPr>
        <w:t>ote that</w:t>
      </w:r>
      <w:r w:rsidR="004B49DF">
        <w:rPr>
          <w:sz w:val="24"/>
          <w:szCs w:val="24"/>
        </w:rPr>
        <w:t>, rather than using the templates,</w:t>
      </w:r>
      <w:r>
        <w:rPr>
          <w:sz w:val="24"/>
          <w:szCs w:val="24"/>
        </w:rPr>
        <w:t xml:space="preserve"> </w:t>
      </w:r>
      <w:r w:rsidR="00863533">
        <w:rPr>
          <w:sz w:val="24"/>
          <w:szCs w:val="24"/>
        </w:rPr>
        <w:t xml:space="preserve">you </w:t>
      </w:r>
      <w:r>
        <w:rPr>
          <w:sz w:val="24"/>
          <w:szCs w:val="24"/>
        </w:rPr>
        <w:t xml:space="preserve">should use </w:t>
      </w:r>
      <w:r w:rsidR="00863533">
        <w:rPr>
          <w:sz w:val="24"/>
          <w:szCs w:val="24"/>
        </w:rPr>
        <w:t xml:space="preserve">your </w:t>
      </w:r>
      <w:r>
        <w:rPr>
          <w:sz w:val="24"/>
          <w:szCs w:val="24"/>
        </w:rPr>
        <w:t>own assessment forms and protocols as desired for this type of evaluatio</w:t>
      </w:r>
      <w:r w:rsidR="000F6D5D">
        <w:rPr>
          <w:sz w:val="24"/>
          <w:szCs w:val="24"/>
        </w:rPr>
        <w:t xml:space="preserve">n. If you are using your own assessment forms, this </w:t>
      </w:r>
      <w:r>
        <w:rPr>
          <w:sz w:val="24"/>
          <w:szCs w:val="24"/>
        </w:rPr>
        <w:t xml:space="preserve">document </w:t>
      </w:r>
      <w:r w:rsidR="000F6D5D">
        <w:rPr>
          <w:sz w:val="24"/>
          <w:szCs w:val="24"/>
        </w:rPr>
        <w:t>can still help to</w:t>
      </w:r>
      <w:r>
        <w:rPr>
          <w:sz w:val="24"/>
          <w:szCs w:val="24"/>
        </w:rPr>
        <w:t xml:space="preserve"> identify various statistics </w:t>
      </w:r>
      <w:r w:rsidR="000F6D5D">
        <w:rPr>
          <w:sz w:val="24"/>
          <w:szCs w:val="24"/>
        </w:rPr>
        <w:t>you c</w:t>
      </w:r>
      <w:r w:rsidR="004B49DF">
        <w:rPr>
          <w:sz w:val="24"/>
          <w:szCs w:val="24"/>
        </w:rPr>
        <w:t>an</w:t>
      </w:r>
      <w:r w:rsidR="000F6D5D">
        <w:rPr>
          <w:sz w:val="24"/>
          <w:szCs w:val="24"/>
        </w:rPr>
        <w:t xml:space="preserve"> use to compare your baseline and post-remediation data</w:t>
      </w:r>
      <w:r>
        <w:rPr>
          <w:sz w:val="24"/>
          <w:szCs w:val="24"/>
        </w:rPr>
        <w:t xml:space="preserve">. </w:t>
      </w:r>
    </w:p>
    <w:p w:rsidR="009C5406" w:rsidRPr="008C1E0D" w:rsidRDefault="003D1702" w:rsidP="008C1E0D">
      <w:pPr>
        <w:spacing w:after="0"/>
        <w:rPr>
          <w:b/>
          <w:color w:val="6B4B1E"/>
          <w:sz w:val="24"/>
          <w:szCs w:val="24"/>
        </w:rPr>
      </w:pPr>
      <w:r w:rsidRPr="008C1E0D">
        <w:rPr>
          <w:b/>
          <w:color w:val="6B4B1E"/>
          <w:sz w:val="24"/>
          <w:szCs w:val="24"/>
        </w:rPr>
        <w:t>Summary of Data Collected</w:t>
      </w:r>
      <w:r w:rsidR="00DC6D46" w:rsidRPr="008C1E0D">
        <w:rPr>
          <w:b/>
          <w:color w:val="6B4B1E"/>
          <w:sz w:val="24"/>
          <w:szCs w:val="24"/>
        </w:rPr>
        <w:t>:</w:t>
      </w:r>
    </w:p>
    <w:p w:rsidR="001509EC" w:rsidRPr="00DC6D46" w:rsidRDefault="004B49DF" w:rsidP="00C16984">
      <w:pPr>
        <w:pStyle w:val="ListParagraph"/>
        <w:numPr>
          <w:ilvl w:val="0"/>
          <w:numId w:val="1"/>
        </w:numPr>
        <w:tabs>
          <w:tab w:val="left" w:pos="360"/>
        </w:tabs>
        <w:spacing w:after="120"/>
        <w:ind w:left="360"/>
        <w:contextualSpacing w:val="0"/>
        <w:rPr>
          <w:b/>
          <w:sz w:val="24"/>
          <w:szCs w:val="24"/>
        </w:rPr>
      </w:pPr>
      <w:r>
        <w:rPr>
          <w:sz w:val="24"/>
          <w:szCs w:val="24"/>
        </w:rPr>
        <w:t xml:space="preserve">If using the visual assessment template from </w:t>
      </w:r>
      <w:r w:rsidR="008C1E0D">
        <w:rPr>
          <w:sz w:val="24"/>
          <w:szCs w:val="24"/>
        </w:rPr>
        <w:t>Attachment B.2</w:t>
      </w:r>
      <w:r>
        <w:rPr>
          <w:sz w:val="24"/>
          <w:szCs w:val="24"/>
        </w:rPr>
        <w:t>, you assess s</w:t>
      </w:r>
      <w:r w:rsidR="003D1702" w:rsidRPr="003D1702">
        <w:rPr>
          <w:sz w:val="24"/>
          <w:szCs w:val="24"/>
        </w:rPr>
        <w:t>ix component systems in each room: (1) walls/ceiling</w:t>
      </w:r>
      <w:r w:rsidR="003A4F29">
        <w:rPr>
          <w:sz w:val="24"/>
          <w:szCs w:val="24"/>
        </w:rPr>
        <w:t>,</w:t>
      </w:r>
      <w:r w:rsidR="003D1702" w:rsidRPr="003D1702">
        <w:rPr>
          <w:sz w:val="24"/>
          <w:szCs w:val="24"/>
        </w:rPr>
        <w:t xml:space="preserve"> (2) floors/stairs</w:t>
      </w:r>
      <w:r w:rsidR="003A4F29">
        <w:rPr>
          <w:sz w:val="24"/>
          <w:szCs w:val="24"/>
        </w:rPr>
        <w:t>,</w:t>
      </w:r>
      <w:r w:rsidR="003D1702" w:rsidRPr="003D1702">
        <w:rPr>
          <w:sz w:val="24"/>
          <w:szCs w:val="24"/>
        </w:rPr>
        <w:t xml:space="preserve"> (3) trim</w:t>
      </w:r>
      <w:r w:rsidR="003A4F29">
        <w:rPr>
          <w:sz w:val="24"/>
          <w:szCs w:val="24"/>
        </w:rPr>
        <w:t>,</w:t>
      </w:r>
      <w:r w:rsidR="003A4F29" w:rsidRPr="003D1702">
        <w:rPr>
          <w:sz w:val="24"/>
          <w:szCs w:val="24"/>
        </w:rPr>
        <w:t xml:space="preserve"> </w:t>
      </w:r>
      <w:r w:rsidR="003D1702" w:rsidRPr="003D1702">
        <w:rPr>
          <w:sz w:val="24"/>
          <w:szCs w:val="24"/>
        </w:rPr>
        <w:t>(4) doors</w:t>
      </w:r>
      <w:r w:rsidR="003A4F29">
        <w:rPr>
          <w:sz w:val="24"/>
          <w:szCs w:val="24"/>
        </w:rPr>
        <w:t>,</w:t>
      </w:r>
      <w:r w:rsidR="003A4F29" w:rsidRPr="003D1702">
        <w:rPr>
          <w:sz w:val="24"/>
          <w:szCs w:val="24"/>
        </w:rPr>
        <w:t xml:space="preserve"> </w:t>
      </w:r>
      <w:r w:rsidR="003D1702" w:rsidRPr="003D1702">
        <w:rPr>
          <w:sz w:val="24"/>
          <w:szCs w:val="24"/>
        </w:rPr>
        <w:t xml:space="preserve">(5) </w:t>
      </w:r>
      <w:r w:rsidR="003A4F29">
        <w:rPr>
          <w:sz w:val="24"/>
          <w:szCs w:val="24"/>
        </w:rPr>
        <w:t xml:space="preserve">interior </w:t>
      </w:r>
      <w:r w:rsidR="007A586D">
        <w:rPr>
          <w:sz w:val="24"/>
          <w:szCs w:val="24"/>
        </w:rPr>
        <w:t>window</w:t>
      </w:r>
      <w:r w:rsidR="003D1702" w:rsidRPr="003D1702">
        <w:rPr>
          <w:sz w:val="24"/>
          <w:szCs w:val="24"/>
        </w:rPr>
        <w:t>sills and sashes</w:t>
      </w:r>
      <w:r w:rsidR="003A4F29">
        <w:rPr>
          <w:sz w:val="24"/>
          <w:szCs w:val="24"/>
        </w:rPr>
        <w:t>,</w:t>
      </w:r>
      <w:r w:rsidR="003A4F29" w:rsidRPr="003D1702">
        <w:rPr>
          <w:sz w:val="24"/>
          <w:szCs w:val="24"/>
        </w:rPr>
        <w:t xml:space="preserve"> </w:t>
      </w:r>
      <w:r w:rsidR="003D1702" w:rsidRPr="003D1702">
        <w:rPr>
          <w:sz w:val="24"/>
          <w:szCs w:val="24"/>
        </w:rPr>
        <w:t>and (6) window troughs, jambs</w:t>
      </w:r>
      <w:r w:rsidR="003A4F29">
        <w:rPr>
          <w:sz w:val="24"/>
          <w:szCs w:val="24"/>
        </w:rPr>
        <w:t>,</w:t>
      </w:r>
      <w:r w:rsidR="003D1702" w:rsidRPr="003D1702">
        <w:rPr>
          <w:sz w:val="24"/>
          <w:szCs w:val="24"/>
        </w:rPr>
        <w:t xml:space="preserve"> and exterior sashes. For each room and component system, rate the paint condition 0 = No paint, 1 = All paint intact, or 2 = </w:t>
      </w:r>
      <w:proofErr w:type="gramStart"/>
      <w:r w:rsidR="003D1702" w:rsidRPr="003D1702">
        <w:rPr>
          <w:sz w:val="24"/>
          <w:szCs w:val="24"/>
        </w:rPr>
        <w:t>Some</w:t>
      </w:r>
      <w:proofErr w:type="gramEnd"/>
      <w:r w:rsidR="003D1702" w:rsidRPr="003D1702">
        <w:rPr>
          <w:sz w:val="24"/>
          <w:szCs w:val="24"/>
        </w:rPr>
        <w:t xml:space="preserve"> paint not intact. </w:t>
      </w:r>
      <w:r w:rsidR="003D1702" w:rsidRPr="008C1E0D">
        <w:rPr>
          <w:i/>
          <w:sz w:val="24"/>
          <w:szCs w:val="24"/>
        </w:rPr>
        <w:t xml:space="preserve">Note that the exterior counts as a </w:t>
      </w:r>
      <w:r w:rsidRPr="008C1E0D">
        <w:rPr>
          <w:i/>
          <w:sz w:val="24"/>
          <w:szCs w:val="24"/>
        </w:rPr>
        <w:t>“</w:t>
      </w:r>
      <w:r w:rsidR="003D1702" w:rsidRPr="008C1E0D">
        <w:rPr>
          <w:i/>
          <w:sz w:val="24"/>
          <w:szCs w:val="24"/>
        </w:rPr>
        <w:t>room.</w:t>
      </w:r>
      <w:r w:rsidRPr="008C1E0D">
        <w:rPr>
          <w:i/>
          <w:sz w:val="24"/>
          <w:szCs w:val="24"/>
        </w:rPr>
        <w:t>”</w:t>
      </w:r>
    </w:p>
    <w:p w:rsidR="00DC6D46" w:rsidRPr="00DC6D46" w:rsidRDefault="003D1702" w:rsidP="00C16984">
      <w:pPr>
        <w:pStyle w:val="ListParagraph"/>
        <w:numPr>
          <w:ilvl w:val="0"/>
          <w:numId w:val="1"/>
        </w:numPr>
        <w:tabs>
          <w:tab w:val="left" w:pos="360"/>
        </w:tabs>
        <w:spacing w:after="120"/>
        <w:ind w:left="360"/>
        <w:contextualSpacing w:val="0"/>
        <w:rPr>
          <w:sz w:val="24"/>
          <w:szCs w:val="24"/>
        </w:rPr>
      </w:pPr>
      <w:r w:rsidRPr="003D1702">
        <w:rPr>
          <w:sz w:val="24"/>
          <w:szCs w:val="24"/>
        </w:rPr>
        <w:t xml:space="preserve">In each room, count the number of windows and number of replacement windows. Note that windows </w:t>
      </w:r>
      <w:r w:rsidR="004B49DF">
        <w:rPr>
          <w:sz w:val="24"/>
          <w:szCs w:val="24"/>
        </w:rPr>
        <w:t>go</w:t>
      </w:r>
      <w:r w:rsidRPr="003D1702">
        <w:rPr>
          <w:sz w:val="24"/>
          <w:szCs w:val="24"/>
        </w:rPr>
        <w:t xml:space="preserve"> with the interior room not the building exterior. </w:t>
      </w:r>
    </w:p>
    <w:p w:rsidR="00532079" w:rsidRDefault="003D1702" w:rsidP="00C16984">
      <w:pPr>
        <w:pStyle w:val="ListParagraph"/>
        <w:numPr>
          <w:ilvl w:val="0"/>
          <w:numId w:val="1"/>
        </w:numPr>
        <w:tabs>
          <w:tab w:val="left" w:pos="360"/>
        </w:tabs>
        <w:ind w:left="360"/>
        <w:rPr>
          <w:sz w:val="24"/>
          <w:szCs w:val="24"/>
        </w:rPr>
      </w:pPr>
      <w:r w:rsidRPr="003D1702">
        <w:rPr>
          <w:sz w:val="24"/>
          <w:szCs w:val="24"/>
        </w:rPr>
        <w:t xml:space="preserve">In addition to the </w:t>
      </w:r>
      <w:r w:rsidR="003A4F29">
        <w:rPr>
          <w:sz w:val="24"/>
          <w:szCs w:val="24"/>
        </w:rPr>
        <w:t>six</w:t>
      </w:r>
      <w:r w:rsidR="003A4F29" w:rsidRPr="003D1702">
        <w:rPr>
          <w:sz w:val="24"/>
          <w:szCs w:val="24"/>
        </w:rPr>
        <w:t xml:space="preserve"> </w:t>
      </w:r>
      <w:r w:rsidRPr="003D1702">
        <w:rPr>
          <w:sz w:val="24"/>
          <w:szCs w:val="24"/>
        </w:rPr>
        <w:t xml:space="preserve">component systems, we consider two </w:t>
      </w:r>
      <w:r w:rsidR="004B49DF">
        <w:rPr>
          <w:sz w:val="24"/>
          <w:szCs w:val="24"/>
        </w:rPr>
        <w:t xml:space="preserve">other </w:t>
      </w:r>
      <w:r w:rsidRPr="003D1702">
        <w:rPr>
          <w:sz w:val="24"/>
          <w:szCs w:val="24"/>
        </w:rPr>
        <w:t>combined component systems:</w:t>
      </w:r>
    </w:p>
    <w:p w:rsidR="00316D22" w:rsidRPr="00DC6D46" w:rsidRDefault="003D1702" w:rsidP="00C16984">
      <w:pPr>
        <w:pStyle w:val="ListParagraph"/>
        <w:numPr>
          <w:ilvl w:val="1"/>
          <w:numId w:val="1"/>
        </w:numPr>
        <w:ind w:left="720"/>
        <w:rPr>
          <w:sz w:val="24"/>
          <w:szCs w:val="24"/>
        </w:rPr>
      </w:pPr>
      <w:r w:rsidRPr="003D1702">
        <w:rPr>
          <w:sz w:val="24"/>
          <w:szCs w:val="24"/>
        </w:rPr>
        <w:t xml:space="preserve">Windows: Non-intact paint on either (a) </w:t>
      </w:r>
      <w:r w:rsidR="003A4F29" w:rsidRPr="003D1702">
        <w:rPr>
          <w:sz w:val="24"/>
          <w:szCs w:val="24"/>
        </w:rPr>
        <w:t xml:space="preserve">interior </w:t>
      </w:r>
      <w:r w:rsidRPr="003D1702">
        <w:rPr>
          <w:sz w:val="24"/>
          <w:szCs w:val="24"/>
        </w:rPr>
        <w:t>windowsills and sashes</w:t>
      </w:r>
      <w:r w:rsidR="007A586D">
        <w:rPr>
          <w:sz w:val="24"/>
          <w:szCs w:val="24"/>
        </w:rPr>
        <w:t>,</w:t>
      </w:r>
      <w:r w:rsidRPr="003D1702">
        <w:rPr>
          <w:sz w:val="24"/>
          <w:szCs w:val="24"/>
        </w:rPr>
        <w:t xml:space="preserve"> or (b) window troughs, jambs</w:t>
      </w:r>
      <w:r w:rsidR="003A4F29">
        <w:rPr>
          <w:sz w:val="24"/>
          <w:szCs w:val="24"/>
        </w:rPr>
        <w:t>,</w:t>
      </w:r>
      <w:r w:rsidRPr="003D1702">
        <w:rPr>
          <w:sz w:val="24"/>
          <w:szCs w:val="24"/>
        </w:rPr>
        <w:t xml:space="preserve"> and exterior sashes. </w:t>
      </w:r>
    </w:p>
    <w:p w:rsidR="00316D22" w:rsidRPr="00DC6D46" w:rsidRDefault="003D1702" w:rsidP="00C16984">
      <w:pPr>
        <w:pStyle w:val="ListParagraph"/>
        <w:numPr>
          <w:ilvl w:val="1"/>
          <w:numId w:val="1"/>
        </w:numPr>
        <w:ind w:left="720"/>
        <w:rPr>
          <w:sz w:val="24"/>
          <w:szCs w:val="24"/>
        </w:rPr>
      </w:pPr>
      <w:r w:rsidRPr="003D1702">
        <w:rPr>
          <w:sz w:val="24"/>
          <w:szCs w:val="24"/>
        </w:rPr>
        <w:t xml:space="preserve">Any component in room: Non-intact paint in any of the </w:t>
      </w:r>
      <w:r w:rsidR="00542405">
        <w:rPr>
          <w:sz w:val="24"/>
          <w:szCs w:val="24"/>
        </w:rPr>
        <w:t>six</w:t>
      </w:r>
      <w:r w:rsidR="00542405" w:rsidRPr="003D1702">
        <w:rPr>
          <w:sz w:val="24"/>
          <w:szCs w:val="24"/>
        </w:rPr>
        <w:t xml:space="preserve"> </w:t>
      </w:r>
      <w:r w:rsidRPr="003D1702">
        <w:rPr>
          <w:sz w:val="24"/>
          <w:szCs w:val="24"/>
        </w:rPr>
        <w:t>component systems</w:t>
      </w:r>
      <w:r w:rsidR="00C16984">
        <w:rPr>
          <w:sz w:val="24"/>
          <w:szCs w:val="24"/>
        </w:rPr>
        <w:t xml:space="preserve"> </w:t>
      </w:r>
      <w:r w:rsidRPr="003D1702">
        <w:rPr>
          <w:sz w:val="24"/>
          <w:szCs w:val="24"/>
        </w:rPr>
        <w:t xml:space="preserve">assessed.  </w:t>
      </w:r>
    </w:p>
    <w:p w:rsidR="006534D4" w:rsidRPr="008C1E0D" w:rsidRDefault="003D1702" w:rsidP="008C1E0D">
      <w:pPr>
        <w:spacing w:after="0"/>
        <w:rPr>
          <w:b/>
          <w:color w:val="6B4B1E"/>
          <w:sz w:val="24"/>
          <w:szCs w:val="24"/>
        </w:rPr>
      </w:pPr>
      <w:r w:rsidRPr="008C1E0D">
        <w:rPr>
          <w:b/>
          <w:color w:val="6B4B1E"/>
          <w:sz w:val="24"/>
          <w:szCs w:val="24"/>
        </w:rPr>
        <w:t>Step 1: Compile data for each housing unit for each period:</w:t>
      </w:r>
    </w:p>
    <w:p w:rsidR="00C16984" w:rsidRDefault="003D1702" w:rsidP="00C16984">
      <w:pPr>
        <w:pStyle w:val="ListParagraph"/>
        <w:numPr>
          <w:ilvl w:val="0"/>
          <w:numId w:val="1"/>
        </w:numPr>
        <w:spacing w:after="120"/>
        <w:ind w:left="360"/>
        <w:contextualSpacing w:val="0"/>
        <w:rPr>
          <w:sz w:val="24"/>
          <w:szCs w:val="24"/>
        </w:rPr>
      </w:pPr>
      <w:r w:rsidRPr="00C16984">
        <w:rPr>
          <w:sz w:val="24"/>
          <w:szCs w:val="24"/>
          <w:u w:val="single"/>
        </w:rPr>
        <w:t>Component-level calculations</w:t>
      </w:r>
      <w:r w:rsidRPr="00C16984">
        <w:rPr>
          <w:sz w:val="24"/>
          <w:szCs w:val="24"/>
        </w:rPr>
        <w:t>:  For each component system in a given unit</w:t>
      </w:r>
      <w:r w:rsidR="00163F19" w:rsidRPr="00C16984">
        <w:rPr>
          <w:sz w:val="24"/>
          <w:szCs w:val="24"/>
        </w:rPr>
        <w:t xml:space="preserve"> at a given time</w:t>
      </w:r>
      <w:r w:rsidRPr="00C16984">
        <w:rPr>
          <w:sz w:val="24"/>
          <w:szCs w:val="24"/>
        </w:rPr>
        <w:t xml:space="preserve">, </w:t>
      </w:r>
      <w:proofErr w:type="gramStart"/>
      <w:r w:rsidRPr="00C16984">
        <w:rPr>
          <w:sz w:val="24"/>
          <w:szCs w:val="24"/>
        </w:rPr>
        <w:t>calculate</w:t>
      </w:r>
      <w:proofErr w:type="gramEnd"/>
      <w:r w:rsidRPr="00C16984">
        <w:rPr>
          <w:sz w:val="24"/>
          <w:szCs w:val="24"/>
        </w:rPr>
        <w:t xml:space="preserve"> the number of rooms that are assessed</w:t>
      </w:r>
      <w:r w:rsidR="004B49DF" w:rsidRPr="00C16984">
        <w:rPr>
          <w:sz w:val="24"/>
          <w:szCs w:val="24"/>
        </w:rPr>
        <w:t xml:space="preserve"> for that component system</w:t>
      </w:r>
      <w:r w:rsidRPr="00C16984">
        <w:rPr>
          <w:sz w:val="24"/>
          <w:szCs w:val="24"/>
        </w:rPr>
        <w:t>, number of rooms with any non-intact paint</w:t>
      </w:r>
      <w:r w:rsidR="004B49DF" w:rsidRPr="00C16984">
        <w:rPr>
          <w:sz w:val="24"/>
          <w:szCs w:val="24"/>
        </w:rPr>
        <w:t xml:space="preserve"> on that component system</w:t>
      </w:r>
      <w:r w:rsidRPr="00C16984">
        <w:rPr>
          <w:sz w:val="24"/>
          <w:szCs w:val="24"/>
        </w:rPr>
        <w:t>, percent</w:t>
      </w:r>
      <w:r w:rsidR="00542405">
        <w:rPr>
          <w:sz w:val="24"/>
          <w:szCs w:val="24"/>
        </w:rPr>
        <w:t>age</w:t>
      </w:r>
      <w:r w:rsidRPr="00C16984">
        <w:rPr>
          <w:sz w:val="24"/>
          <w:szCs w:val="24"/>
        </w:rPr>
        <w:t xml:space="preserve"> of rooms with any non-intact paint</w:t>
      </w:r>
      <w:r w:rsidR="00163F19" w:rsidRPr="00C16984">
        <w:rPr>
          <w:sz w:val="24"/>
          <w:szCs w:val="24"/>
        </w:rPr>
        <w:t xml:space="preserve"> on that component system</w:t>
      </w:r>
      <w:r w:rsidR="000F6D5D" w:rsidRPr="00C16984">
        <w:rPr>
          <w:sz w:val="24"/>
          <w:szCs w:val="24"/>
        </w:rPr>
        <w:t>,</w:t>
      </w:r>
      <w:r w:rsidRPr="00C16984">
        <w:rPr>
          <w:sz w:val="24"/>
          <w:szCs w:val="24"/>
        </w:rPr>
        <w:t xml:space="preserve"> and whether any rooms have non-intact paint</w:t>
      </w:r>
      <w:r w:rsidR="004B49DF" w:rsidRPr="00C16984">
        <w:rPr>
          <w:sz w:val="24"/>
          <w:szCs w:val="24"/>
        </w:rPr>
        <w:t xml:space="preserve"> </w:t>
      </w:r>
      <w:r w:rsidR="00163F19" w:rsidRPr="00C16984">
        <w:rPr>
          <w:sz w:val="24"/>
          <w:szCs w:val="24"/>
        </w:rPr>
        <w:t>on that component system</w:t>
      </w:r>
      <w:r w:rsidR="008C1E0D" w:rsidRPr="00C16984">
        <w:rPr>
          <w:sz w:val="24"/>
          <w:szCs w:val="24"/>
        </w:rPr>
        <w:t xml:space="preserve"> </w:t>
      </w:r>
      <w:r w:rsidRPr="00C16984">
        <w:rPr>
          <w:sz w:val="24"/>
          <w:szCs w:val="24"/>
        </w:rPr>
        <w:t>(</w:t>
      </w:r>
      <w:r w:rsidR="00542405">
        <w:rPr>
          <w:sz w:val="24"/>
          <w:szCs w:val="24"/>
        </w:rPr>
        <w:t>s</w:t>
      </w:r>
      <w:r w:rsidR="00542405" w:rsidRPr="00C16984">
        <w:rPr>
          <w:sz w:val="24"/>
          <w:szCs w:val="24"/>
        </w:rPr>
        <w:t xml:space="preserve">ee </w:t>
      </w:r>
      <w:r w:rsidRPr="00C16984">
        <w:rPr>
          <w:sz w:val="24"/>
          <w:szCs w:val="24"/>
        </w:rPr>
        <w:t xml:space="preserve">Table 1 for example).   </w:t>
      </w:r>
    </w:p>
    <w:p w:rsidR="00A71944" w:rsidRPr="00C16984" w:rsidRDefault="003D1702" w:rsidP="00DE6C7C">
      <w:pPr>
        <w:pStyle w:val="ListParagraph"/>
        <w:numPr>
          <w:ilvl w:val="0"/>
          <w:numId w:val="1"/>
        </w:numPr>
        <w:ind w:left="360"/>
        <w:rPr>
          <w:sz w:val="24"/>
          <w:szCs w:val="24"/>
        </w:rPr>
        <w:sectPr w:rsidR="00A71944" w:rsidRPr="00C16984" w:rsidSect="009F3162">
          <w:headerReference w:type="default" r:id="rId8"/>
          <w:footerReference w:type="default" r:id="rId9"/>
          <w:pgSz w:w="12240" w:h="15840"/>
          <w:pgMar w:top="1152" w:right="1440" w:bottom="1152" w:left="1440" w:header="720" w:footer="720" w:gutter="0"/>
          <w:cols w:space="720"/>
          <w:docGrid w:linePitch="360"/>
        </w:sectPr>
      </w:pPr>
      <w:r w:rsidRPr="00C16984">
        <w:rPr>
          <w:sz w:val="24"/>
          <w:szCs w:val="24"/>
          <w:u w:val="single"/>
        </w:rPr>
        <w:t>Number of windows and replacement windows</w:t>
      </w:r>
      <w:r w:rsidRPr="00C16984">
        <w:rPr>
          <w:sz w:val="24"/>
          <w:szCs w:val="24"/>
        </w:rPr>
        <w:t>: Calculate the number of windows and number and percent</w:t>
      </w:r>
      <w:r w:rsidR="00542405">
        <w:rPr>
          <w:sz w:val="24"/>
          <w:szCs w:val="24"/>
        </w:rPr>
        <w:t>age</w:t>
      </w:r>
      <w:r w:rsidRPr="00C16984">
        <w:rPr>
          <w:sz w:val="24"/>
          <w:szCs w:val="24"/>
        </w:rPr>
        <w:t xml:space="preserve"> of replacement windows in each unit. </w:t>
      </w:r>
    </w:p>
    <w:p w:rsidR="00C16984" w:rsidRDefault="00C16984">
      <w:pPr>
        <w:rPr>
          <w:b/>
          <w:color w:val="6B4B1E"/>
          <w:sz w:val="24"/>
          <w:szCs w:val="24"/>
        </w:rPr>
      </w:pPr>
    </w:p>
    <w:p w:rsidR="00BA7156" w:rsidRPr="00C16984" w:rsidRDefault="003D1702" w:rsidP="00C16984">
      <w:pPr>
        <w:spacing w:after="120"/>
        <w:rPr>
          <w:b/>
          <w:color w:val="6B4B1E"/>
          <w:sz w:val="24"/>
          <w:szCs w:val="24"/>
        </w:rPr>
      </w:pPr>
      <w:r w:rsidRPr="00C16984">
        <w:rPr>
          <w:b/>
          <w:color w:val="6B4B1E"/>
          <w:sz w:val="24"/>
          <w:szCs w:val="24"/>
        </w:rPr>
        <w:t>Table 1: Component-Level Summary for Each Unit and Period Considered</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039"/>
        <w:gridCol w:w="1072"/>
        <w:gridCol w:w="664"/>
        <w:gridCol w:w="795"/>
        <w:gridCol w:w="1707"/>
        <w:gridCol w:w="2055"/>
        <w:gridCol w:w="1222"/>
        <w:gridCol w:w="1465"/>
      </w:tblGrid>
      <w:tr w:rsidR="008C1E0D" w:rsidRPr="00DC6D46" w:rsidTr="005339F5">
        <w:trPr>
          <w:trHeight w:val="440"/>
        </w:trPr>
        <w:tc>
          <w:tcPr>
            <w:tcW w:w="0" w:type="auto"/>
            <w:vMerge w:val="restart"/>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Statistic</w:t>
            </w:r>
          </w:p>
        </w:tc>
        <w:tc>
          <w:tcPr>
            <w:tcW w:w="0" w:type="auto"/>
            <w:gridSpan w:val="8"/>
            <w:shd w:val="clear" w:color="auto" w:fill="auto"/>
            <w:hideMark/>
          </w:tcPr>
          <w:p w:rsidR="00660559" w:rsidRPr="00DC6D46" w:rsidRDefault="003D1702" w:rsidP="00FA1970">
            <w:pPr>
              <w:spacing w:after="0" w:line="240" w:lineRule="auto"/>
              <w:jc w:val="center"/>
              <w:rPr>
                <w:rFonts w:eastAsia="Times New Roman" w:cs="Arial"/>
                <w:color w:val="000000"/>
                <w:sz w:val="24"/>
                <w:szCs w:val="24"/>
              </w:rPr>
            </w:pPr>
            <w:r w:rsidRPr="003D1702">
              <w:rPr>
                <w:rFonts w:eastAsia="Times New Roman" w:cs="Arial"/>
                <w:color w:val="000000"/>
                <w:sz w:val="24"/>
                <w:szCs w:val="24"/>
              </w:rPr>
              <w:t>Component System</w:t>
            </w:r>
          </w:p>
        </w:tc>
      </w:tr>
      <w:tr w:rsidR="008C1E0D" w:rsidRPr="00DC6D46" w:rsidTr="007C65D4">
        <w:trPr>
          <w:trHeight w:val="890"/>
        </w:trPr>
        <w:tc>
          <w:tcPr>
            <w:tcW w:w="0" w:type="auto"/>
            <w:vMerge/>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Walls/ ceiling</w:t>
            </w: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Floors/ stairs</w:t>
            </w: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Trim</w:t>
            </w: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Doors</w:t>
            </w: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Window interior sills and sashes</w:t>
            </w: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Window troughs, jambs</w:t>
            </w:r>
            <w:r w:rsidR="00542405">
              <w:rPr>
                <w:rFonts w:eastAsia="Times New Roman" w:cs="Arial"/>
                <w:color w:val="000000"/>
                <w:sz w:val="24"/>
                <w:szCs w:val="24"/>
              </w:rPr>
              <w:t>,</w:t>
            </w:r>
            <w:r w:rsidRPr="003D1702">
              <w:rPr>
                <w:rFonts w:eastAsia="Times New Roman" w:cs="Arial"/>
                <w:color w:val="000000"/>
                <w:sz w:val="24"/>
                <w:szCs w:val="24"/>
              </w:rPr>
              <w:t xml:space="preserve"> and exterior sashes</w:t>
            </w:r>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proofErr w:type="spellStart"/>
            <w:r w:rsidRPr="003D1702">
              <w:rPr>
                <w:rFonts w:eastAsia="Times New Roman" w:cs="Arial"/>
                <w:color w:val="000000"/>
                <w:sz w:val="24"/>
                <w:szCs w:val="24"/>
              </w:rPr>
              <w:t>Windows</w:t>
            </w:r>
            <w:r w:rsidRPr="003D1702">
              <w:rPr>
                <w:rFonts w:eastAsia="Times New Roman" w:cs="Arial"/>
                <w:color w:val="000000"/>
                <w:sz w:val="24"/>
                <w:szCs w:val="24"/>
                <w:vertAlign w:val="superscript"/>
              </w:rPr>
              <w:t>A</w:t>
            </w:r>
            <w:proofErr w:type="spellEnd"/>
          </w:p>
        </w:tc>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Any component </w:t>
            </w:r>
            <w:r w:rsidR="00542405">
              <w:rPr>
                <w:rFonts w:eastAsia="Times New Roman" w:cs="Arial"/>
                <w:color w:val="000000"/>
                <w:sz w:val="24"/>
                <w:szCs w:val="24"/>
              </w:rPr>
              <w:br/>
            </w:r>
            <w:r w:rsidRPr="003D1702">
              <w:rPr>
                <w:rFonts w:eastAsia="Times New Roman" w:cs="Arial"/>
                <w:color w:val="000000"/>
                <w:sz w:val="24"/>
                <w:szCs w:val="24"/>
              </w:rPr>
              <w:t>in room</w:t>
            </w:r>
          </w:p>
        </w:tc>
      </w:tr>
      <w:tr w:rsidR="008C1E0D" w:rsidRPr="00DC6D46" w:rsidTr="005339F5">
        <w:trPr>
          <w:trHeight w:val="953"/>
        </w:trPr>
        <w:tc>
          <w:tcPr>
            <w:tcW w:w="0" w:type="auto"/>
            <w:shd w:val="clear" w:color="auto" w:fill="auto"/>
            <w:hideMark/>
          </w:tcPr>
          <w:p w:rsidR="00660559" w:rsidRPr="00DC6D46" w:rsidRDefault="003D1702" w:rsidP="004B49DF">
            <w:pPr>
              <w:spacing w:after="0" w:line="240" w:lineRule="auto"/>
              <w:rPr>
                <w:rFonts w:eastAsia="Times New Roman" w:cs="Arial"/>
                <w:color w:val="000000"/>
                <w:sz w:val="24"/>
                <w:szCs w:val="24"/>
              </w:rPr>
            </w:pPr>
            <w:r w:rsidRPr="003D1702">
              <w:rPr>
                <w:rFonts w:eastAsia="Times New Roman" w:cs="Arial"/>
                <w:color w:val="000000"/>
                <w:sz w:val="24"/>
                <w:szCs w:val="24"/>
              </w:rPr>
              <w:t xml:space="preserve">Row 2: Number of rooms assessed </w:t>
            </w:r>
            <w:r w:rsidR="004B49DF">
              <w:rPr>
                <w:rFonts w:eastAsia="Times New Roman" w:cs="Arial"/>
                <w:color w:val="000000"/>
                <w:sz w:val="24"/>
                <w:szCs w:val="24"/>
              </w:rPr>
              <w:t xml:space="preserve">for </w:t>
            </w:r>
            <w:r w:rsidRPr="003D1702">
              <w:rPr>
                <w:rFonts w:eastAsia="Times New Roman" w:cs="Arial"/>
                <w:color w:val="000000"/>
                <w:sz w:val="24"/>
                <w:szCs w:val="24"/>
              </w:rPr>
              <w:t>component</w:t>
            </w: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r>
      <w:tr w:rsidR="008C1E0D" w:rsidRPr="00DC6D46" w:rsidTr="009F3162">
        <w:trPr>
          <w:trHeight w:val="917"/>
        </w:trPr>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Row 3: Number of rooms with non-intact paint on component</w:t>
            </w: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r>
      <w:tr w:rsidR="008C1E0D" w:rsidRPr="00DC6D46" w:rsidTr="005339F5">
        <w:trPr>
          <w:trHeight w:val="615"/>
        </w:trPr>
        <w:tc>
          <w:tcPr>
            <w:tcW w:w="0" w:type="auto"/>
            <w:shd w:val="clear" w:color="auto" w:fill="auto"/>
            <w:hideMark/>
          </w:tcPr>
          <w:p w:rsidR="00660559" w:rsidRPr="00DC6D46" w:rsidRDefault="003D1702" w:rsidP="00542405">
            <w:pPr>
              <w:spacing w:after="0" w:line="240" w:lineRule="auto"/>
              <w:rPr>
                <w:rFonts w:eastAsia="Times New Roman" w:cs="Arial"/>
                <w:color w:val="000000"/>
                <w:sz w:val="24"/>
                <w:szCs w:val="24"/>
              </w:rPr>
            </w:pPr>
            <w:r w:rsidRPr="003D1702">
              <w:rPr>
                <w:rFonts w:eastAsia="Times New Roman" w:cs="Arial"/>
                <w:color w:val="000000"/>
                <w:sz w:val="24"/>
                <w:szCs w:val="24"/>
              </w:rPr>
              <w:t>Row 4: Percent</w:t>
            </w:r>
            <w:r w:rsidR="00542405">
              <w:rPr>
                <w:rFonts w:eastAsia="Times New Roman" w:cs="Arial"/>
                <w:color w:val="000000"/>
                <w:sz w:val="24"/>
                <w:szCs w:val="24"/>
              </w:rPr>
              <w:t>age</w:t>
            </w:r>
            <w:r w:rsidR="00542405">
              <w:rPr>
                <w:rFonts w:eastAsia="Times New Roman" w:cs="Arial"/>
                <w:color w:val="000000"/>
                <w:sz w:val="24"/>
                <w:szCs w:val="24"/>
              </w:rPr>
              <w:br/>
            </w:r>
            <w:r w:rsidRPr="003D1702">
              <w:rPr>
                <w:rFonts w:eastAsia="Times New Roman" w:cs="Arial"/>
                <w:color w:val="000000"/>
                <w:sz w:val="24"/>
                <w:szCs w:val="24"/>
              </w:rPr>
              <w:t>of rooms with non-intact paint on component</w:t>
            </w: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r>
      <w:tr w:rsidR="008C1E0D" w:rsidRPr="00DC6D46" w:rsidTr="005339F5">
        <w:trPr>
          <w:trHeight w:val="615"/>
        </w:trPr>
        <w:tc>
          <w:tcPr>
            <w:tcW w:w="0" w:type="auto"/>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Row 5: Any rooms with non-intact paint on component (Yes/No)</w:t>
            </w: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0" w:type="auto"/>
            <w:shd w:val="clear" w:color="auto" w:fill="auto"/>
            <w:hideMark/>
          </w:tcPr>
          <w:p w:rsidR="00660559" w:rsidRPr="00DC6D46" w:rsidRDefault="00660559" w:rsidP="00FA1970">
            <w:pPr>
              <w:spacing w:after="0" w:line="240" w:lineRule="auto"/>
              <w:rPr>
                <w:rFonts w:eastAsia="Times New Roman" w:cs="Arial"/>
                <w:color w:val="000000"/>
                <w:sz w:val="24"/>
                <w:szCs w:val="24"/>
              </w:rPr>
            </w:pPr>
          </w:p>
        </w:tc>
      </w:tr>
    </w:tbl>
    <w:p w:rsidR="00660559" w:rsidRPr="00DC6D46" w:rsidRDefault="003D1702" w:rsidP="00660559">
      <w:pPr>
        <w:rPr>
          <w:rFonts w:eastAsia="Times New Roman" w:cs="Arial"/>
          <w:color w:val="000000"/>
          <w:sz w:val="24"/>
          <w:szCs w:val="24"/>
        </w:rPr>
      </w:pPr>
      <w:r w:rsidRPr="003D1702">
        <w:rPr>
          <w:rFonts w:eastAsia="Times New Roman" w:cs="Arial"/>
          <w:color w:val="000000"/>
          <w:sz w:val="24"/>
          <w:szCs w:val="24"/>
        </w:rPr>
        <w:t>A = Combining window interior sills and sashes with window troughs, jambs</w:t>
      </w:r>
      <w:r w:rsidR="00542405">
        <w:rPr>
          <w:rFonts w:eastAsia="Times New Roman" w:cs="Arial"/>
          <w:color w:val="000000"/>
          <w:sz w:val="24"/>
          <w:szCs w:val="24"/>
        </w:rPr>
        <w:t>,</w:t>
      </w:r>
      <w:r w:rsidRPr="003D1702">
        <w:rPr>
          <w:rFonts w:eastAsia="Times New Roman" w:cs="Arial"/>
          <w:color w:val="000000"/>
          <w:sz w:val="24"/>
          <w:szCs w:val="24"/>
        </w:rPr>
        <w:t xml:space="preserve"> and exterior sashes</w:t>
      </w:r>
    </w:p>
    <w:p w:rsidR="00A71944" w:rsidRDefault="00A71944" w:rsidP="001543AE">
      <w:pPr>
        <w:rPr>
          <w:b/>
          <w:sz w:val="24"/>
          <w:szCs w:val="24"/>
        </w:rPr>
        <w:sectPr w:rsidR="00A71944" w:rsidSect="00A71944">
          <w:pgSz w:w="15840" w:h="12240" w:orient="landscape"/>
          <w:pgMar w:top="1440" w:right="1440" w:bottom="1440" w:left="1440" w:header="720" w:footer="720" w:gutter="0"/>
          <w:cols w:space="720"/>
          <w:docGrid w:linePitch="360"/>
        </w:sectPr>
      </w:pPr>
    </w:p>
    <w:p w:rsidR="00C16984" w:rsidRDefault="00C16984" w:rsidP="001543AE">
      <w:pPr>
        <w:rPr>
          <w:b/>
          <w:sz w:val="24"/>
          <w:szCs w:val="24"/>
        </w:rPr>
      </w:pPr>
    </w:p>
    <w:p w:rsidR="001543AE" w:rsidRPr="00C16984" w:rsidRDefault="003D1702" w:rsidP="001543AE">
      <w:pPr>
        <w:rPr>
          <w:b/>
          <w:color w:val="6B4B1E"/>
          <w:sz w:val="24"/>
          <w:szCs w:val="24"/>
        </w:rPr>
      </w:pPr>
      <w:r w:rsidRPr="00C16984">
        <w:rPr>
          <w:b/>
          <w:color w:val="6B4B1E"/>
          <w:sz w:val="24"/>
          <w:szCs w:val="24"/>
        </w:rPr>
        <w:t>Step 2: Compile data across all housing units for each period (e.g.</w:t>
      </w:r>
      <w:r w:rsidR="00163F19" w:rsidRPr="00C16984">
        <w:rPr>
          <w:b/>
          <w:color w:val="6B4B1E"/>
          <w:sz w:val="24"/>
          <w:szCs w:val="24"/>
        </w:rPr>
        <w:t>,</w:t>
      </w:r>
      <w:r w:rsidRPr="00C16984">
        <w:rPr>
          <w:b/>
          <w:color w:val="6B4B1E"/>
          <w:sz w:val="24"/>
          <w:szCs w:val="24"/>
        </w:rPr>
        <w:t xml:space="preserve"> baseline and post-remediation):</w:t>
      </w:r>
    </w:p>
    <w:p w:rsidR="00C70219" w:rsidRPr="00DC6D46" w:rsidRDefault="003D1702" w:rsidP="00C16984">
      <w:pPr>
        <w:pStyle w:val="ListParagraph"/>
        <w:numPr>
          <w:ilvl w:val="0"/>
          <w:numId w:val="1"/>
        </w:numPr>
        <w:ind w:left="360"/>
        <w:rPr>
          <w:sz w:val="24"/>
          <w:szCs w:val="24"/>
        </w:rPr>
      </w:pPr>
      <w:r w:rsidRPr="003D1702">
        <w:rPr>
          <w:sz w:val="24"/>
          <w:szCs w:val="24"/>
        </w:rPr>
        <w:t xml:space="preserve">Table 2 contains an example of how to compile the window data for all housing units assessed at each period. </w:t>
      </w:r>
    </w:p>
    <w:p w:rsidR="002E5D46" w:rsidRPr="00DC6D46" w:rsidRDefault="003D1702" w:rsidP="00C16984">
      <w:pPr>
        <w:pStyle w:val="ListParagraph"/>
        <w:numPr>
          <w:ilvl w:val="0"/>
          <w:numId w:val="1"/>
        </w:numPr>
        <w:ind w:left="360"/>
        <w:rPr>
          <w:sz w:val="24"/>
          <w:szCs w:val="24"/>
        </w:rPr>
      </w:pPr>
      <w:r w:rsidRPr="003D1702">
        <w:rPr>
          <w:sz w:val="24"/>
          <w:szCs w:val="24"/>
        </w:rPr>
        <w:t>Table 3 contains an example of how to compile the paint condition data for all housing units assessed at each period. For each of the statistics</w:t>
      </w:r>
      <w:r w:rsidR="00373D4F">
        <w:rPr>
          <w:sz w:val="24"/>
          <w:szCs w:val="24"/>
        </w:rPr>
        <w:t xml:space="preserve"> calculated in Table 2</w:t>
      </w:r>
      <w:r w:rsidRPr="003D1702">
        <w:rPr>
          <w:sz w:val="24"/>
          <w:szCs w:val="24"/>
        </w:rPr>
        <w:t xml:space="preserve">, </w:t>
      </w:r>
      <w:r w:rsidR="00373D4F">
        <w:rPr>
          <w:sz w:val="24"/>
          <w:szCs w:val="24"/>
        </w:rPr>
        <w:t xml:space="preserve">you can </w:t>
      </w:r>
      <w:r w:rsidRPr="003D1702">
        <w:rPr>
          <w:sz w:val="24"/>
          <w:szCs w:val="24"/>
        </w:rPr>
        <w:t>calculate the average</w:t>
      </w:r>
      <w:r w:rsidR="00163F19">
        <w:rPr>
          <w:sz w:val="24"/>
          <w:szCs w:val="24"/>
        </w:rPr>
        <w:t xml:space="preserve"> (arithmetic mean)</w:t>
      </w:r>
      <w:r w:rsidRPr="003D1702">
        <w:rPr>
          <w:sz w:val="24"/>
          <w:szCs w:val="24"/>
        </w:rPr>
        <w:t>, minimum</w:t>
      </w:r>
      <w:r w:rsidR="00624E05">
        <w:rPr>
          <w:sz w:val="24"/>
          <w:szCs w:val="24"/>
        </w:rPr>
        <w:t>,</w:t>
      </w:r>
      <w:r w:rsidRPr="003D1702">
        <w:rPr>
          <w:sz w:val="24"/>
          <w:szCs w:val="24"/>
        </w:rPr>
        <w:t xml:space="preserve"> and maximum values.</w:t>
      </w:r>
    </w:p>
    <w:p w:rsidR="00C16984" w:rsidRDefault="00C16984" w:rsidP="00C16984">
      <w:pPr>
        <w:spacing w:after="120"/>
        <w:rPr>
          <w:b/>
          <w:color w:val="6B4B1E"/>
          <w:sz w:val="24"/>
          <w:szCs w:val="24"/>
        </w:rPr>
      </w:pPr>
    </w:p>
    <w:p w:rsidR="00326EAD" w:rsidRPr="00C16984" w:rsidRDefault="003D1702" w:rsidP="00C16984">
      <w:pPr>
        <w:spacing w:after="120"/>
        <w:rPr>
          <w:b/>
          <w:color w:val="6B4B1E"/>
          <w:sz w:val="24"/>
          <w:szCs w:val="24"/>
        </w:rPr>
      </w:pPr>
      <w:r w:rsidRPr="00C16984">
        <w:rPr>
          <w:b/>
          <w:color w:val="6B4B1E"/>
          <w:sz w:val="24"/>
          <w:szCs w:val="24"/>
        </w:rPr>
        <w:t>Table 2: Replacement and Non-Replacement Windows for Each Period Considered</w:t>
      </w:r>
    </w:p>
    <w:tbl>
      <w:tblPr>
        <w:tblStyle w:val="TableGrid"/>
        <w:tblW w:w="0" w:type="auto"/>
        <w:tblLook w:val="04A0" w:firstRow="1" w:lastRow="0" w:firstColumn="1" w:lastColumn="0" w:noHBand="0" w:noVBand="1"/>
      </w:tblPr>
      <w:tblGrid>
        <w:gridCol w:w="3185"/>
        <w:gridCol w:w="1820"/>
        <w:gridCol w:w="1668"/>
        <w:gridCol w:w="1347"/>
        <w:gridCol w:w="1330"/>
      </w:tblGrid>
      <w:tr w:rsidR="00326EAD" w:rsidRPr="00DC6D46" w:rsidTr="002E3588">
        <w:tc>
          <w:tcPr>
            <w:tcW w:w="3294" w:type="dxa"/>
            <w:vMerge w:val="restart"/>
          </w:tcPr>
          <w:p w:rsidR="00326EAD" w:rsidRPr="00DC6D46" w:rsidRDefault="003D1702" w:rsidP="002E3588">
            <w:pPr>
              <w:spacing w:after="200" w:line="276" w:lineRule="auto"/>
              <w:rPr>
                <w:sz w:val="24"/>
                <w:szCs w:val="24"/>
              </w:rPr>
            </w:pPr>
            <w:r w:rsidRPr="003D1702">
              <w:rPr>
                <w:sz w:val="24"/>
                <w:szCs w:val="24"/>
              </w:rPr>
              <w:t>Type of Window</w:t>
            </w:r>
          </w:p>
        </w:tc>
        <w:tc>
          <w:tcPr>
            <w:tcW w:w="3564" w:type="dxa"/>
            <w:gridSpan w:val="2"/>
          </w:tcPr>
          <w:p w:rsidR="00326EAD" w:rsidRPr="00DC6D46" w:rsidRDefault="003D1702" w:rsidP="002E3588">
            <w:pPr>
              <w:spacing w:after="200" w:line="276" w:lineRule="auto"/>
              <w:jc w:val="center"/>
              <w:rPr>
                <w:sz w:val="24"/>
                <w:szCs w:val="24"/>
              </w:rPr>
            </w:pPr>
            <w:r w:rsidRPr="003D1702">
              <w:rPr>
                <w:sz w:val="24"/>
                <w:szCs w:val="24"/>
              </w:rPr>
              <w:t>Number per Unit</w:t>
            </w:r>
          </w:p>
        </w:tc>
        <w:tc>
          <w:tcPr>
            <w:tcW w:w="2700" w:type="dxa"/>
            <w:gridSpan w:val="2"/>
          </w:tcPr>
          <w:p w:rsidR="00326EAD" w:rsidRPr="00DC6D46" w:rsidRDefault="003D1702" w:rsidP="002E3588">
            <w:pPr>
              <w:spacing w:after="200" w:line="276" w:lineRule="auto"/>
              <w:jc w:val="center"/>
              <w:rPr>
                <w:sz w:val="24"/>
                <w:szCs w:val="24"/>
              </w:rPr>
            </w:pPr>
            <w:r w:rsidRPr="003D1702">
              <w:rPr>
                <w:sz w:val="24"/>
                <w:szCs w:val="24"/>
              </w:rPr>
              <w:t>Percent</w:t>
            </w:r>
            <w:r w:rsidR="00542405">
              <w:rPr>
                <w:sz w:val="24"/>
                <w:szCs w:val="24"/>
              </w:rPr>
              <w:t>age</w:t>
            </w:r>
            <w:r w:rsidRPr="003D1702">
              <w:rPr>
                <w:sz w:val="24"/>
                <w:szCs w:val="24"/>
              </w:rPr>
              <w:t xml:space="preserve"> per Unit</w:t>
            </w:r>
          </w:p>
        </w:tc>
      </w:tr>
      <w:tr w:rsidR="00326EAD" w:rsidRPr="00DC6D46" w:rsidTr="002E3588">
        <w:tc>
          <w:tcPr>
            <w:tcW w:w="3294" w:type="dxa"/>
            <w:vMerge/>
          </w:tcPr>
          <w:p w:rsidR="00326EAD" w:rsidRPr="00DC6D46" w:rsidRDefault="00326EAD" w:rsidP="002E3588">
            <w:pPr>
              <w:spacing w:after="200" w:line="276" w:lineRule="auto"/>
              <w:rPr>
                <w:sz w:val="24"/>
                <w:szCs w:val="24"/>
              </w:rPr>
            </w:pPr>
          </w:p>
        </w:tc>
        <w:tc>
          <w:tcPr>
            <w:tcW w:w="1854" w:type="dxa"/>
          </w:tcPr>
          <w:p w:rsidR="00326EAD" w:rsidRPr="00DC6D46" w:rsidRDefault="003D1702" w:rsidP="002E3588">
            <w:pPr>
              <w:spacing w:after="200" w:line="276" w:lineRule="auto"/>
              <w:rPr>
                <w:sz w:val="24"/>
                <w:szCs w:val="24"/>
              </w:rPr>
            </w:pPr>
            <w:r w:rsidRPr="003D1702">
              <w:rPr>
                <w:sz w:val="24"/>
                <w:szCs w:val="24"/>
              </w:rPr>
              <w:t>Range (Minimum, Maximum)</w:t>
            </w:r>
          </w:p>
        </w:tc>
        <w:tc>
          <w:tcPr>
            <w:tcW w:w="1710" w:type="dxa"/>
          </w:tcPr>
          <w:p w:rsidR="00326EAD" w:rsidRPr="00DC6D46" w:rsidRDefault="003D1702" w:rsidP="002E3588">
            <w:pPr>
              <w:spacing w:after="200" w:line="276" w:lineRule="auto"/>
              <w:rPr>
                <w:sz w:val="24"/>
                <w:szCs w:val="24"/>
              </w:rPr>
            </w:pPr>
            <w:r w:rsidRPr="003D1702">
              <w:rPr>
                <w:sz w:val="24"/>
                <w:szCs w:val="24"/>
              </w:rPr>
              <w:t>Average</w:t>
            </w:r>
          </w:p>
        </w:tc>
        <w:tc>
          <w:tcPr>
            <w:tcW w:w="1350" w:type="dxa"/>
          </w:tcPr>
          <w:p w:rsidR="00326EAD" w:rsidRPr="00DC6D46" w:rsidRDefault="003D1702" w:rsidP="002E3588">
            <w:pPr>
              <w:spacing w:after="200" w:line="276" w:lineRule="auto"/>
              <w:rPr>
                <w:sz w:val="24"/>
                <w:szCs w:val="24"/>
              </w:rPr>
            </w:pPr>
            <w:r w:rsidRPr="003D1702">
              <w:rPr>
                <w:sz w:val="24"/>
                <w:szCs w:val="24"/>
              </w:rPr>
              <w:t>Range (Minimum, Maximum)</w:t>
            </w:r>
          </w:p>
        </w:tc>
        <w:tc>
          <w:tcPr>
            <w:tcW w:w="1350" w:type="dxa"/>
          </w:tcPr>
          <w:p w:rsidR="00326EAD" w:rsidRPr="00DC6D46" w:rsidRDefault="003D1702" w:rsidP="002E3588">
            <w:pPr>
              <w:spacing w:after="200" w:line="276" w:lineRule="auto"/>
              <w:rPr>
                <w:sz w:val="24"/>
                <w:szCs w:val="24"/>
              </w:rPr>
            </w:pPr>
            <w:r w:rsidRPr="003D1702">
              <w:rPr>
                <w:sz w:val="24"/>
                <w:szCs w:val="24"/>
              </w:rPr>
              <w:t>Average</w:t>
            </w:r>
          </w:p>
        </w:tc>
      </w:tr>
      <w:tr w:rsidR="00326EAD" w:rsidRPr="00DC6D46" w:rsidTr="00BA33EC">
        <w:tc>
          <w:tcPr>
            <w:tcW w:w="3294" w:type="dxa"/>
          </w:tcPr>
          <w:p w:rsidR="00326EAD" w:rsidRPr="00DC6D46" w:rsidRDefault="003D1702" w:rsidP="002E3588">
            <w:pPr>
              <w:spacing w:after="200" w:line="276" w:lineRule="auto"/>
              <w:rPr>
                <w:sz w:val="24"/>
                <w:szCs w:val="24"/>
              </w:rPr>
            </w:pPr>
            <w:r w:rsidRPr="003D1702">
              <w:rPr>
                <w:sz w:val="24"/>
                <w:szCs w:val="24"/>
              </w:rPr>
              <w:t>All Windows</w:t>
            </w:r>
          </w:p>
        </w:tc>
        <w:tc>
          <w:tcPr>
            <w:tcW w:w="1854" w:type="dxa"/>
          </w:tcPr>
          <w:p w:rsidR="00326EAD" w:rsidRPr="00DC6D46" w:rsidRDefault="00326EAD" w:rsidP="002E3588">
            <w:pPr>
              <w:spacing w:after="200" w:line="276" w:lineRule="auto"/>
              <w:rPr>
                <w:sz w:val="24"/>
                <w:szCs w:val="24"/>
              </w:rPr>
            </w:pPr>
          </w:p>
        </w:tc>
        <w:tc>
          <w:tcPr>
            <w:tcW w:w="1710" w:type="dxa"/>
          </w:tcPr>
          <w:p w:rsidR="00326EAD" w:rsidRPr="00DC6D46" w:rsidRDefault="00326EAD" w:rsidP="002E3588">
            <w:pPr>
              <w:spacing w:after="200" w:line="276" w:lineRule="auto"/>
              <w:rPr>
                <w:sz w:val="24"/>
                <w:szCs w:val="24"/>
              </w:rPr>
            </w:pPr>
          </w:p>
        </w:tc>
        <w:tc>
          <w:tcPr>
            <w:tcW w:w="1350" w:type="dxa"/>
            <w:shd w:val="clear" w:color="auto" w:fill="6B4B1E"/>
          </w:tcPr>
          <w:p w:rsidR="00326EAD" w:rsidRPr="00DC6D46" w:rsidRDefault="00326EAD" w:rsidP="002E3588">
            <w:pPr>
              <w:spacing w:after="200" w:line="276" w:lineRule="auto"/>
              <w:rPr>
                <w:sz w:val="24"/>
                <w:szCs w:val="24"/>
              </w:rPr>
            </w:pPr>
          </w:p>
        </w:tc>
        <w:tc>
          <w:tcPr>
            <w:tcW w:w="1350" w:type="dxa"/>
            <w:shd w:val="clear" w:color="auto" w:fill="6B4B1E"/>
          </w:tcPr>
          <w:p w:rsidR="00326EAD" w:rsidRPr="00DC6D46" w:rsidRDefault="00326EAD" w:rsidP="002E3588">
            <w:pPr>
              <w:spacing w:after="200" w:line="276" w:lineRule="auto"/>
              <w:rPr>
                <w:sz w:val="24"/>
                <w:szCs w:val="24"/>
              </w:rPr>
            </w:pPr>
          </w:p>
        </w:tc>
      </w:tr>
      <w:tr w:rsidR="00326EAD" w:rsidRPr="00DC6D46" w:rsidTr="002E3588">
        <w:tc>
          <w:tcPr>
            <w:tcW w:w="3294" w:type="dxa"/>
          </w:tcPr>
          <w:p w:rsidR="00326EAD" w:rsidRPr="00DC6D46" w:rsidRDefault="003D1702" w:rsidP="002E3588">
            <w:pPr>
              <w:spacing w:after="200" w:line="276" w:lineRule="auto"/>
              <w:rPr>
                <w:sz w:val="24"/>
                <w:szCs w:val="24"/>
              </w:rPr>
            </w:pPr>
            <w:r w:rsidRPr="003D1702">
              <w:rPr>
                <w:sz w:val="24"/>
                <w:szCs w:val="24"/>
              </w:rPr>
              <w:t>Replacement Windows</w:t>
            </w:r>
          </w:p>
        </w:tc>
        <w:tc>
          <w:tcPr>
            <w:tcW w:w="1854" w:type="dxa"/>
          </w:tcPr>
          <w:p w:rsidR="00326EAD" w:rsidRPr="00DC6D46" w:rsidRDefault="00326EAD" w:rsidP="002E3588">
            <w:pPr>
              <w:spacing w:after="200" w:line="276" w:lineRule="auto"/>
              <w:rPr>
                <w:sz w:val="24"/>
                <w:szCs w:val="24"/>
              </w:rPr>
            </w:pPr>
          </w:p>
        </w:tc>
        <w:tc>
          <w:tcPr>
            <w:tcW w:w="1710" w:type="dxa"/>
          </w:tcPr>
          <w:p w:rsidR="00326EAD" w:rsidRPr="00DC6D46" w:rsidRDefault="00326EAD" w:rsidP="002E3588">
            <w:pPr>
              <w:spacing w:after="200" w:line="276" w:lineRule="auto"/>
              <w:rPr>
                <w:sz w:val="24"/>
                <w:szCs w:val="24"/>
              </w:rPr>
            </w:pPr>
          </w:p>
        </w:tc>
        <w:tc>
          <w:tcPr>
            <w:tcW w:w="1350" w:type="dxa"/>
          </w:tcPr>
          <w:p w:rsidR="00326EAD" w:rsidRPr="00DC6D46" w:rsidRDefault="00326EAD" w:rsidP="002E3588">
            <w:pPr>
              <w:spacing w:after="200" w:line="276" w:lineRule="auto"/>
              <w:rPr>
                <w:sz w:val="24"/>
                <w:szCs w:val="24"/>
              </w:rPr>
            </w:pPr>
          </w:p>
        </w:tc>
        <w:tc>
          <w:tcPr>
            <w:tcW w:w="1350" w:type="dxa"/>
          </w:tcPr>
          <w:p w:rsidR="00326EAD" w:rsidRPr="00DC6D46" w:rsidRDefault="00326EAD" w:rsidP="002E3588">
            <w:pPr>
              <w:spacing w:after="200" w:line="276" w:lineRule="auto"/>
              <w:rPr>
                <w:sz w:val="24"/>
                <w:szCs w:val="24"/>
              </w:rPr>
            </w:pPr>
          </w:p>
        </w:tc>
      </w:tr>
      <w:tr w:rsidR="00326EAD" w:rsidRPr="00DC6D46" w:rsidTr="002E3588">
        <w:tc>
          <w:tcPr>
            <w:tcW w:w="3294" w:type="dxa"/>
          </w:tcPr>
          <w:p w:rsidR="00326EAD" w:rsidRPr="00DC6D46" w:rsidRDefault="003D1702" w:rsidP="002E3588">
            <w:pPr>
              <w:spacing w:after="200" w:line="276" w:lineRule="auto"/>
              <w:rPr>
                <w:sz w:val="24"/>
                <w:szCs w:val="24"/>
              </w:rPr>
            </w:pPr>
            <w:r w:rsidRPr="003D1702">
              <w:rPr>
                <w:sz w:val="24"/>
                <w:szCs w:val="24"/>
              </w:rPr>
              <w:t>Non-Replacement Windows</w:t>
            </w:r>
          </w:p>
        </w:tc>
        <w:tc>
          <w:tcPr>
            <w:tcW w:w="1854" w:type="dxa"/>
          </w:tcPr>
          <w:p w:rsidR="00326EAD" w:rsidRPr="00DC6D46" w:rsidRDefault="00326EAD" w:rsidP="002E3588">
            <w:pPr>
              <w:spacing w:after="200" w:line="276" w:lineRule="auto"/>
              <w:rPr>
                <w:sz w:val="24"/>
                <w:szCs w:val="24"/>
              </w:rPr>
            </w:pPr>
          </w:p>
        </w:tc>
        <w:tc>
          <w:tcPr>
            <w:tcW w:w="1710" w:type="dxa"/>
          </w:tcPr>
          <w:p w:rsidR="00326EAD" w:rsidRPr="00DC6D46" w:rsidRDefault="00326EAD" w:rsidP="002E3588">
            <w:pPr>
              <w:spacing w:after="200" w:line="276" w:lineRule="auto"/>
              <w:rPr>
                <w:sz w:val="24"/>
                <w:szCs w:val="24"/>
              </w:rPr>
            </w:pPr>
          </w:p>
        </w:tc>
        <w:tc>
          <w:tcPr>
            <w:tcW w:w="1350" w:type="dxa"/>
          </w:tcPr>
          <w:p w:rsidR="00326EAD" w:rsidRPr="00DC6D46" w:rsidRDefault="00326EAD" w:rsidP="002E3588">
            <w:pPr>
              <w:spacing w:after="200" w:line="276" w:lineRule="auto"/>
              <w:rPr>
                <w:sz w:val="24"/>
                <w:szCs w:val="24"/>
              </w:rPr>
            </w:pPr>
          </w:p>
        </w:tc>
        <w:tc>
          <w:tcPr>
            <w:tcW w:w="1350" w:type="dxa"/>
          </w:tcPr>
          <w:p w:rsidR="00326EAD" w:rsidRPr="00DC6D46" w:rsidRDefault="00326EAD" w:rsidP="002E3588">
            <w:pPr>
              <w:spacing w:after="200" w:line="276" w:lineRule="auto"/>
              <w:rPr>
                <w:sz w:val="24"/>
                <w:szCs w:val="24"/>
              </w:rPr>
            </w:pPr>
          </w:p>
        </w:tc>
      </w:tr>
    </w:tbl>
    <w:p w:rsidR="00532079" w:rsidRDefault="00532079">
      <w:pPr>
        <w:pStyle w:val="ListParagraph"/>
        <w:ind w:left="1440"/>
        <w:rPr>
          <w:sz w:val="24"/>
          <w:szCs w:val="24"/>
        </w:rPr>
      </w:pPr>
    </w:p>
    <w:p w:rsidR="00CE7E11" w:rsidRPr="00DC6D46" w:rsidRDefault="00CE7E11" w:rsidP="00CE7E11">
      <w:pPr>
        <w:rPr>
          <w:sz w:val="24"/>
          <w:szCs w:val="24"/>
        </w:rPr>
        <w:sectPr w:rsidR="00CE7E11" w:rsidRPr="00DC6D46" w:rsidSect="00166010">
          <w:pgSz w:w="12240" w:h="15840"/>
          <w:pgMar w:top="1440" w:right="1440" w:bottom="1440" w:left="1440" w:header="720" w:footer="720" w:gutter="0"/>
          <w:cols w:space="720"/>
          <w:docGrid w:linePitch="360"/>
        </w:sectPr>
      </w:pPr>
    </w:p>
    <w:p w:rsidR="005232EC" w:rsidRPr="00C16984" w:rsidRDefault="00326EAD" w:rsidP="00C16984">
      <w:pPr>
        <w:spacing w:after="120"/>
        <w:rPr>
          <w:b/>
          <w:color w:val="6B4B1E"/>
          <w:sz w:val="24"/>
          <w:szCs w:val="24"/>
        </w:rPr>
      </w:pPr>
      <w:r w:rsidRPr="00C16984">
        <w:rPr>
          <w:b/>
          <w:color w:val="6B4B1E"/>
          <w:sz w:val="24"/>
          <w:szCs w:val="24"/>
        </w:rPr>
        <w:t>Table 3</w:t>
      </w:r>
      <w:r w:rsidR="007C7086" w:rsidRPr="00C16984">
        <w:rPr>
          <w:b/>
          <w:color w:val="6B4B1E"/>
          <w:sz w:val="24"/>
          <w:szCs w:val="24"/>
        </w:rPr>
        <w:t xml:space="preserve">: </w:t>
      </w:r>
      <w:r w:rsidR="00BD4EE1" w:rsidRPr="00C16984">
        <w:rPr>
          <w:b/>
          <w:color w:val="6B4B1E"/>
          <w:sz w:val="24"/>
          <w:szCs w:val="24"/>
        </w:rPr>
        <w:t xml:space="preserve">Paint Condition </w:t>
      </w:r>
      <w:r w:rsidR="00764C12" w:rsidRPr="00C16984">
        <w:rPr>
          <w:b/>
          <w:color w:val="6B4B1E"/>
          <w:sz w:val="24"/>
          <w:szCs w:val="24"/>
        </w:rPr>
        <w:t>Results for Each Period Considered</w:t>
      </w:r>
    </w:p>
    <w:tbl>
      <w:tblPr>
        <w:tblW w:w="129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5"/>
        <w:gridCol w:w="2543"/>
        <w:gridCol w:w="1004"/>
        <w:gridCol w:w="1029"/>
        <w:gridCol w:w="734"/>
        <w:gridCol w:w="990"/>
        <w:gridCol w:w="1080"/>
        <w:gridCol w:w="1260"/>
        <w:gridCol w:w="1260"/>
        <w:gridCol w:w="1425"/>
      </w:tblGrid>
      <w:tr w:rsidR="00660559" w:rsidRPr="00DC6D46" w:rsidTr="00C16984">
        <w:trPr>
          <w:cantSplit/>
          <w:trHeight w:val="350"/>
          <w:tblHeader/>
        </w:trPr>
        <w:tc>
          <w:tcPr>
            <w:tcW w:w="1635" w:type="dxa"/>
            <w:vMerge w:val="restart"/>
            <w:shd w:val="clear" w:color="auto" w:fill="auto"/>
            <w:hideMark/>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Characteristic</w:t>
            </w:r>
          </w:p>
        </w:tc>
        <w:tc>
          <w:tcPr>
            <w:tcW w:w="2543" w:type="dxa"/>
            <w:vMerge w:val="restart"/>
          </w:tcPr>
          <w:p w:rsidR="00660559" w:rsidRPr="00DC6D46" w:rsidRDefault="003D1702" w:rsidP="00FA1970">
            <w:pPr>
              <w:spacing w:after="0" w:line="240" w:lineRule="auto"/>
              <w:jc w:val="center"/>
              <w:rPr>
                <w:rFonts w:eastAsia="Times New Roman" w:cs="Arial"/>
                <w:color w:val="000000"/>
                <w:sz w:val="24"/>
                <w:szCs w:val="24"/>
              </w:rPr>
            </w:pPr>
            <w:r w:rsidRPr="003D1702">
              <w:rPr>
                <w:rFonts w:eastAsia="Times New Roman" w:cs="Arial"/>
                <w:color w:val="000000"/>
                <w:sz w:val="24"/>
                <w:szCs w:val="24"/>
              </w:rPr>
              <w:t xml:space="preserve">Statistic </w:t>
            </w:r>
          </w:p>
        </w:tc>
        <w:tc>
          <w:tcPr>
            <w:tcW w:w="8782" w:type="dxa"/>
            <w:gridSpan w:val="8"/>
            <w:shd w:val="clear" w:color="auto" w:fill="auto"/>
            <w:hideMark/>
          </w:tcPr>
          <w:p w:rsidR="00660559" w:rsidRPr="00DC6D46" w:rsidRDefault="003D1702" w:rsidP="00FA1970">
            <w:pPr>
              <w:spacing w:after="0" w:line="240" w:lineRule="auto"/>
              <w:jc w:val="center"/>
              <w:rPr>
                <w:rFonts w:eastAsia="Times New Roman" w:cs="Arial"/>
                <w:color w:val="000000"/>
                <w:sz w:val="24"/>
                <w:szCs w:val="24"/>
              </w:rPr>
            </w:pPr>
            <w:r w:rsidRPr="003D1702">
              <w:rPr>
                <w:rFonts w:eastAsia="Times New Roman" w:cs="Arial"/>
                <w:color w:val="000000"/>
                <w:sz w:val="24"/>
                <w:szCs w:val="24"/>
              </w:rPr>
              <w:t>Component</w:t>
            </w:r>
          </w:p>
        </w:tc>
      </w:tr>
      <w:tr w:rsidR="00660559" w:rsidRPr="00DC6D46" w:rsidTr="00624E05">
        <w:trPr>
          <w:cantSplit/>
          <w:trHeight w:val="1340"/>
          <w:tblHeader/>
        </w:trPr>
        <w:tc>
          <w:tcPr>
            <w:tcW w:w="1635" w:type="dxa"/>
            <w:vMerge/>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2543" w:type="dxa"/>
            <w:vMerge/>
          </w:tcPr>
          <w:p w:rsidR="00660559" w:rsidRPr="00DC6D46" w:rsidRDefault="00660559" w:rsidP="00FA1970">
            <w:pPr>
              <w:spacing w:after="0" w:line="240" w:lineRule="auto"/>
              <w:rPr>
                <w:rFonts w:eastAsia="Times New Roman" w:cs="Arial"/>
                <w:color w:val="000000"/>
                <w:sz w:val="24"/>
                <w:szCs w:val="24"/>
              </w:rPr>
            </w:pPr>
          </w:p>
        </w:tc>
        <w:tc>
          <w:tcPr>
            <w:tcW w:w="1004"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Walls/ ceiling</w:t>
            </w:r>
          </w:p>
        </w:tc>
        <w:tc>
          <w:tcPr>
            <w:tcW w:w="1029"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Floors/ stairs</w:t>
            </w:r>
          </w:p>
        </w:tc>
        <w:tc>
          <w:tcPr>
            <w:tcW w:w="734"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Trim</w:t>
            </w:r>
          </w:p>
        </w:tc>
        <w:tc>
          <w:tcPr>
            <w:tcW w:w="990"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Doors</w:t>
            </w:r>
          </w:p>
        </w:tc>
        <w:tc>
          <w:tcPr>
            <w:tcW w:w="1080"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Window interior sills and sashes</w:t>
            </w:r>
          </w:p>
        </w:tc>
        <w:tc>
          <w:tcPr>
            <w:tcW w:w="1260"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Window troughs, jambs</w:t>
            </w:r>
            <w:r w:rsidR="00542405">
              <w:rPr>
                <w:rFonts w:eastAsia="Times New Roman" w:cs="Arial"/>
                <w:color w:val="000000"/>
                <w:szCs w:val="24"/>
              </w:rPr>
              <w:t>,</w:t>
            </w:r>
            <w:r w:rsidRPr="00C16984">
              <w:rPr>
                <w:rFonts w:eastAsia="Times New Roman" w:cs="Arial"/>
                <w:color w:val="000000"/>
                <w:szCs w:val="24"/>
              </w:rPr>
              <w:t xml:space="preserve"> and exterior sashes</w:t>
            </w:r>
          </w:p>
        </w:tc>
        <w:tc>
          <w:tcPr>
            <w:tcW w:w="1260" w:type="dxa"/>
            <w:shd w:val="clear" w:color="auto" w:fill="auto"/>
            <w:hideMark/>
          </w:tcPr>
          <w:p w:rsidR="00660559" w:rsidRPr="00C16984" w:rsidRDefault="003D1702" w:rsidP="00FA1970">
            <w:pPr>
              <w:spacing w:after="0" w:line="240" w:lineRule="auto"/>
              <w:rPr>
                <w:rFonts w:eastAsia="Times New Roman" w:cs="Arial"/>
                <w:color w:val="000000"/>
                <w:szCs w:val="24"/>
              </w:rPr>
            </w:pPr>
            <w:proofErr w:type="spellStart"/>
            <w:r w:rsidRPr="00C16984">
              <w:rPr>
                <w:rFonts w:eastAsia="Times New Roman" w:cs="Arial"/>
                <w:color w:val="000000"/>
                <w:szCs w:val="24"/>
              </w:rPr>
              <w:t>Windows</w:t>
            </w:r>
            <w:r w:rsidRPr="00C16984">
              <w:rPr>
                <w:rFonts w:eastAsia="Times New Roman" w:cs="Arial"/>
                <w:color w:val="000000"/>
                <w:szCs w:val="24"/>
                <w:vertAlign w:val="superscript"/>
              </w:rPr>
              <w:t>A</w:t>
            </w:r>
            <w:proofErr w:type="spellEnd"/>
          </w:p>
        </w:tc>
        <w:tc>
          <w:tcPr>
            <w:tcW w:w="1425" w:type="dxa"/>
            <w:shd w:val="clear" w:color="auto" w:fill="auto"/>
            <w:hideMark/>
          </w:tcPr>
          <w:p w:rsidR="00660559" w:rsidRPr="00C16984" w:rsidRDefault="003D1702" w:rsidP="00FA1970">
            <w:pPr>
              <w:spacing w:after="0" w:line="240" w:lineRule="auto"/>
              <w:rPr>
                <w:rFonts w:eastAsia="Times New Roman" w:cs="Arial"/>
                <w:color w:val="000000"/>
                <w:szCs w:val="24"/>
              </w:rPr>
            </w:pPr>
            <w:r w:rsidRPr="00C16984">
              <w:rPr>
                <w:rFonts w:eastAsia="Times New Roman" w:cs="Arial"/>
                <w:color w:val="000000"/>
                <w:szCs w:val="24"/>
              </w:rPr>
              <w:t>Any component in room</w:t>
            </w:r>
          </w:p>
        </w:tc>
      </w:tr>
      <w:tr w:rsidR="00624E05" w:rsidRPr="00DC6D46" w:rsidTr="00624E05">
        <w:trPr>
          <w:trHeight w:val="1457"/>
        </w:trPr>
        <w:tc>
          <w:tcPr>
            <w:tcW w:w="1635" w:type="dxa"/>
            <w:vMerge w:val="restart"/>
            <w:shd w:val="clear" w:color="auto" w:fill="auto"/>
            <w:hideMark/>
          </w:tcPr>
          <w:p w:rsidR="00624E05" w:rsidRDefault="00624E05" w:rsidP="00FA1970">
            <w:pPr>
              <w:spacing w:after="0" w:line="240" w:lineRule="auto"/>
              <w:rPr>
                <w:rFonts w:eastAsia="Times New Roman" w:cs="Arial"/>
                <w:color w:val="000000"/>
                <w:sz w:val="24"/>
                <w:szCs w:val="24"/>
              </w:rPr>
            </w:pPr>
          </w:p>
          <w:p w:rsidR="00624E05" w:rsidRDefault="00624E05" w:rsidP="00FA1970">
            <w:pPr>
              <w:spacing w:after="0" w:line="240" w:lineRule="auto"/>
              <w:rPr>
                <w:rFonts w:eastAsia="Times New Roman" w:cs="Arial"/>
                <w:color w:val="000000"/>
                <w:sz w:val="24"/>
                <w:szCs w:val="24"/>
              </w:rPr>
            </w:pPr>
          </w:p>
          <w:p w:rsidR="00624E05" w:rsidRDefault="00624E05" w:rsidP="00FA1970">
            <w:pPr>
              <w:spacing w:after="0" w:line="240" w:lineRule="auto"/>
              <w:rPr>
                <w:rFonts w:eastAsia="Times New Roman" w:cs="Arial"/>
                <w:color w:val="000000"/>
                <w:sz w:val="24"/>
                <w:szCs w:val="24"/>
              </w:rPr>
            </w:pPr>
          </w:p>
          <w:p w:rsidR="00624E05" w:rsidRDefault="00624E05" w:rsidP="00FA1970">
            <w:pPr>
              <w:spacing w:after="0" w:line="240" w:lineRule="auto"/>
              <w:rPr>
                <w:rFonts w:eastAsia="Times New Roman" w:cs="Arial"/>
                <w:color w:val="000000"/>
                <w:sz w:val="24"/>
                <w:szCs w:val="24"/>
              </w:rPr>
            </w:pPr>
          </w:p>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Number of rooms assessed  </w:t>
            </w:r>
          </w:p>
        </w:tc>
        <w:tc>
          <w:tcPr>
            <w:tcW w:w="2543" w:type="dxa"/>
          </w:tcPr>
          <w:p w:rsidR="00624E05" w:rsidRPr="00DC6D46" w:rsidRDefault="003D1702" w:rsidP="00FA1970">
            <w:pPr>
              <w:spacing w:after="0" w:line="240" w:lineRule="auto"/>
              <w:rPr>
                <w:rFonts w:eastAsia="Times New Roman" w:cs="Arial"/>
                <w:color w:val="000000"/>
                <w:sz w:val="24"/>
                <w:szCs w:val="24"/>
              </w:rPr>
            </w:pPr>
            <w:r w:rsidRPr="003D1702">
              <w:rPr>
                <w:sz w:val="24"/>
                <w:szCs w:val="24"/>
              </w:rPr>
              <w:t xml:space="preserve">Total number of rooms assessed with specific component </w:t>
            </w:r>
            <w:r w:rsidR="007A586D">
              <w:rPr>
                <w:sz w:val="24"/>
                <w:szCs w:val="24"/>
              </w:rPr>
              <w:br/>
            </w:r>
            <w:r w:rsidRPr="003D1702">
              <w:rPr>
                <w:rFonts w:eastAsia="Times New Roman" w:cs="Arial"/>
                <w:i/>
                <w:iCs/>
                <w:color w:val="000000"/>
                <w:sz w:val="24"/>
                <w:szCs w:val="24"/>
              </w:rPr>
              <w:t>(From Table 1, row 2: Sum across all units)</w:t>
            </w:r>
          </w:p>
        </w:tc>
        <w:tc>
          <w:tcPr>
            <w:tcW w:w="1004"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029"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734"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99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08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26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26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425"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r>
      <w:tr w:rsidR="00624E05" w:rsidRPr="00DC6D46" w:rsidTr="00624E05">
        <w:trPr>
          <w:trHeight w:val="1160"/>
        </w:trPr>
        <w:tc>
          <w:tcPr>
            <w:tcW w:w="1635" w:type="dxa"/>
            <w:vMerge/>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2543" w:type="dxa"/>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Range </w:t>
            </w:r>
            <w:r w:rsidR="007A586D">
              <w:rPr>
                <w:rFonts w:eastAsia="Times New Roman" w:cs="Arial"/>
                <w:color w:val="000000"/>
                <w:sz w:val="24"/>
                <w:szCs w:val="24"/>
              </w:rPr>
              <w:br/>
            </w:r>
            <w:r w:rsidRPr="003D1702">
              <w:rPr>
                <w:rFonts w:eastAsia="Times New Roman" w:cs="Arial"/>
                <w:color w:val="000000"/>
                <w:sz w:val="24"/>
                <w:szCs w:val="24"/>
              </w:rPr>
              <w:t xml:space="preserve">(Minimum, Maximum) </w:t>
            </w:r>
            <w:r w:rsidR="007A586D">
              <w:rPr>
                <w:rFonts w:eastAsia="Times New Roman" w:cs="Arial"/>
                <w:color w:val="000000"/>
                <w:sz w:val="24"/>
                <w:szCs w:val="24"/>
              </w:rPr>
              <w:br/>
            </w:r>
            <w:r w:rsidRPr="003D1702">
              <w:rPr>
                <w:rFonts w:eastAsia="Times New Roman" w:cs="Arial"/>
                <w:i/>
                <w:iCs/>
                <w:color w:val="000000"/>
                <w:sz w:val="24"/>
                <w:szCs w:val="24"/>
              </w:rPr>
              <w:t>(From Table 1, row 2: Minimum and maximum across all units)</w:t>
            </w:r>
          </w:p>
        </w:tc>
        <w:tc>
          <w:tcPr>
            <w:tcW w:w="1004"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029"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734"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99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08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26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26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425"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r>
      <w:tr w:rsidR="00624E05" w:rsidRPr="00DC6D46" w:rsidTr="00624E05">
        <w:trPr>
          <w:trHeight w:val="615"/>
        </w:trPr>
        <w:tc>
          <w:tcPr>
            <w:tcW w:w="1635" w:type="dxa"/>
            <w:vMerge/>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2543" w:type="dxa"/>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Average  </w:t>
            </w:r>
            <w:r w:rsidR="007A586D">
              <w:rPr>
                <w:rFonts w:eastAsia="Times New Roman" w:cs="Arial"/>
                <w:color w:val="000000"/>
                <w:sz w:val="24"/>
                <w:szCs w:val="24"/>
              </w:rPr>
              <w:br/>
            </w:r>
            <w:r w:rsidRPr="003D1702">
              <w:rPr>
                <w:rFonts w:eastAsia="Times New Roman" w:cs="Arial"/>
                <w:i/>
                <w:iCs/>
                <w:color w:val="000000"/>
                <w:sz w:val="24"/>
                <w:szCs w:val="24"/>
              </w:rPr>
              <w:t>(From Table 1, row 2: Average of all units)</w:t>
            </w:r>
          </w:p>
        </w:tc>
        <w:tc>
          <w:tcPr>
            <w:tcW w:w="1004"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029"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734"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99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08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26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260"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c>
          <w:tcPr>
            <w:tcW w:w="1425" w:type="dxa"/>
            <w:shd w:val="clear" w:color="auto" w:fill="auto"/>
            <w:hideMark/>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w:t>
            </w:r>
          </w:p>
        </w:tc>
      </w:tr>
      <w:tr w:rsidR="00624E05" w:rsidRPr="00DC6D46" w:rsidTr="00624E05">
        <w:trPr>
          <w:trHeight w:val="615"/>
        </w:trPr>
        <w:tc>
          <w:tcPr>
            <w:tcW w:w="1635" w:type="dxa"/>
            <w:vMerge w:val="restart"/>
            <w:shd w:val="clear" w:color="auto" w:fill="auto"/>
            <w:hideMark/>
          </w:tcPr>
          <w:p w:rsidR="00624E05" w:rsidRDefault="00624E05" w:rsidP="00FA1970">
            <w:pPr>
              <w:spacing w:after="0" w:line="240" w:lineRule="auto"/>
              <w:rPr>
                <w:rFonts w:eastAsia="Times New Roman" w:cs="Arial"/>
                <w:color w:val="000000"/>
                <w:sz w:val="24"/>
                <w:szCs w:val="24"/>
              </w:rPr>
            </w:pPr>
          </w:p>
          <w:p w:rsidR="00624E05" w:rsidRDefault="00624E05" w:rsidP="00FA1970">
            <w:pPr>
              <w:spacing w:after="0" w:line="240" w:lineRule="auto"/>
              <w:rPr>
                <w:rFonts w:eastAsia="Times New Roman" w:cs="Arial"/>
                <w:color w:val="000000"/>
                <w:sz w:val="24"/>
                <w:szCs w:val="24"/>
              </w:rPr>
            </w:pPr>
          </w:p>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Number of Rooms with non-intact paint</w:t>
            </w:r>
            <w:r w:rsidRPr="003D1702">
              <w:rPr>
                <w:rFonts w:eastAsia="Times New Roman" w:cs="Arial"/>
                <w:color w:val="000000"/>
                <w:sz w:val="24"/>
                <w:szCs w:val="24"/>
                <w:vertAlign w:val="superscript"/>
              </w:rPr>
              <w:t>1</w:t>
            </w:r>
            <w:r w:rsidRPr="003D1702">
              <w:rPr>
                <w:rFonts w:eastAsia="Times New Roman" w:cs="Arial"/>
                <w:color w:val="000000"/>
                <w:sz w:val="24"/>
                <w:szCs w:val="24"/>
              </w:rPr>
              <w:t xml:space="preserve">  on specific component</w:t>
            </w:r>
          </w:p>
        </w:tc>
        <w:tc>
          <w:tcPr>
            <w:tcW w:w="2543" w:type="dxa"/>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Total </w:t>
            </w:r>
            <w:r w:rsidR="007A586D">
              <w:rPr>
                <w:rFonts w:eastAsia="Times New Roman" w:cs="Arial"/>
                <w:color w:val="000000"/>
                <w:sz w:val="24"/>
                <w:szCs w:val="24"/>
              </w:rPr>
              <w:br/>
            </w:r>
            <w:r w:rsidRPr="003D1702">
              <w:rPr>
                <w:rFonts w:eastAsia="Times New Roman" w:cs="Arial"/>
                <w:i/>
                <w:iCs/>
                <w:color w:val="000000"/>
                <w:sz w:val="24"/>
                <w:szCs w:val="24"/>
              </w:rPr>
              <w:t>(From Table 1, row 3: Sum across all units)</w:t>
            </w:r>
          </w:p>
        </w:tc>
        <w:tc>
          <w:tcPr>
            <w:tcW w:w="100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29"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73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99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8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425"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r>
      <w:tr w:rsidR="00624E05" w:rsidRPr="00DC6D46" w:rsidTr="00624E05">
        <w:trPr>
          <w:trHeight w:val="615"/>
        </w:trPr>
        <w:tc>
          <w:tcPr>
            <w:tcW w:w="1635" w:type="dxa"/>
            <w:vMerge/>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2543" w:type="dxa"/>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Range </w:t>
            </w:r>
            <w:r w:rsidR="007A586D">
              <w:rPr>
                <w:rFonts w:eastAsia="Times New Roman" w:cs="Arial"/>
                <w:color w:val="000000"/>
                <w:sz w:val="24"/>
                <w:szCs w:val="24"/>
              </w:rPr>
              <w:br/>
            </w:r>
            <w:r w:rsidRPr="003D1702">
              <w:rPr>
                <w:rFonts w:eastAsia="Times New Roman" w:cs="Arial"/>
                <w:color w:val="000000"/>
                <w:sz w:val="24"/>
                <w:szCs w:val="24"/>
              </w:rPr>
              <w:t xml:space="preserve">(Minimum, Maximum) </w:t>
            </w:r>
            <w:r w:rsidR="007A586D">
              <w:rPr>
                <w:rFonts w:eastAsia="Times New Roman" w:cs="Arial"/>
                <w:color w:val="000000"/>
                <w:sz w:val="24"/>
                <w:szCs w:val="24"/>
              </w:rPr>
              <w:br/>
            </w:r>
            <w:r w:rsidRPr="003D1702">
              <w:rPr>
                <w:rFonts w:eastAsia="Times New Roman" w:cs="Arial"/>
                <w:i/>
                <w:iCs/>
                <w:color w:val="000000"/>
                <w:sz w:val="24"/>
                <w:szCs w:val="24"/>
              </w:rPr>
              <w:t>(From Table 1, row 3: Minimum and maximum across all units)</w:t>
            </w:r>
          </w:p>
        </w:tc>
        <w:tc>
          <w:tcPr>
            <w:tcW w:w="100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29"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73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99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8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425"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r>
      <w:tr w:rsidR="00660559" w:rsidRPr="00DC6D46" w:rsidTr="00624E05">
        <w:trPr>
          <w:trHeight w:val="615"/>
        </w:trPr>
        <w:tc>
          <w:tcPr>
            <w:tcW w:w="1635"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2543" w:type="dxa"/>
          </w:tcPr>
          <w:p w:rsidR="00660559"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Average </w:t>
            </w:r>
            <w:r w:rsidR="007A586D">
              <w:rPr>
                <w:rFonts w:eastAsia="Times New Roman" w:cs="Arial"/>
                <w:color w:val="000000"/>
                <w:sz w:val="24"/>
                <w:szCs w:val="24"/>
              </w:rPr>
              <w:br/>
            </w:r>
            <w:r w:rsidRPr="003D1702">
              <w:rPr>
                <w:rFonts w:eastAsia="Times New Roman" w:cs="Arial"/>
                <w:i/>
                <w:iCs/>
                <w:color w:val="000000"/>
                <w:sz w:val="24"/>
                <w:szCs w:val="24"/>
              </w:rPr>
              <w:t>(From Table 1, row 3: Average of all units)</w:t>
            </w:r>
          </w:p>
        </w:tc>
        <w:tc>
          <w:tcPr>
            <w:tcW w:w="1004"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1029"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734"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990"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1080"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1260"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1260"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c>
          <w:tcPr>
            <w:tcW w:w="1425" w:type="dxa"/>
            <w:shd w:val="clear" w:color="auto" w:fill="auto"/>
            <w:hideMark/>
          </w:tcPr>
          <w:p w:rsidR="00660559" w:rsidRPr="00DC6D46" w:rsidRDefault="00660559" w:rsidP="00FA1970">
            <w:pPr>
              <w:spacing w:after="0" w:line="240" w:lineRule="auto"/>
              <w:rPr>
                <w:rFonts w:eastAsia="Times New Roman" w:cs="Arial"/>
                <w:color w:val="000000"/>
                <w:sz w:val="24"/>
                <w:szCs w:val="24"/>
              </w:rPr>
            </w:pPr>
          </w:p>
        </w:tc>
      </w:tr>
      <w:tr w:rsidR="00624E05" w:rsidRPr="00DC6D46" w:rsidTr="00624E05">
        <w:trPr>
          <w:trHeight w:val="615"/>
        </w:trPr>
        <w:tc>
          <w:tcPr>
            <w:tcW w:w="1635" w:type="dxa"/>
            <w:vMerge w:val="restart"/>
            <w:shd w:val="clear" w:color="auto" w:fill="auto"/>
            <w:hideMark/>
          </w:tcPr>
          <w:p w:rsidR="00624E05" w:rsidRDefault="00624E05" w:rsidP="00FA1970">
            <w:pPr>
              <w:spacing w:after="0" w:line="240" w:lineRule="auto"/>
              <w:rPr>
                <w:rFonts w:eastAsia="Times New Roman" w:cs="Arial"/>
                <w:color w:val="000000"/>
                <w:sz w:val="24"/>
                <w:szCs w:val="24"/>
              </w:rPr>
            </w:pPr>
          </w:p>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Percent</w:t>
            </w:r>
            <w:r w:rsidR="00542405">
              <w:rPr>
                <w:rFonts w:eastAsia="Times New Roman" w:cs="Arial"/>
                <w:color w:val="000000"/>
                <w:sz w:val="24"/>
                <w:szCs w:val="24"/>
              </w:rPr>
              <w:t>age</w:t>
            </w:r>
            <w:r w:rsidRPr="003D1702">
              <w:rPr>
                <w:rFonts w:eastAsia="Times New Roman" w:cs="Arial"/>
                <w:color w:val="000000"/>
                <w:sz w:val="24"/>
                <w:szCs w:val="24"/>
              </w:rPr>
              <w:t xml:space="preserve"> of Rooms with non-intact paint on specific component</w:t>
            </w:r>
          </w:p>
        </w:tc>
        <w:tc>
          <w:tcPr>
            <w:tcW w:w="2543" w:type="dxa"/>
          </w:tcPr>
          <w:p w:rsidR="00624E05" w:rsidRPr="00DC6D46" w:rsidRDefault="003D1702" w:rsidP="00C719A1">
            <w:pPr>
              <w:spacing w:after="0" w:line="240" w:lineRule="auto"/>
              <w:rPr>
                <w:rFonts w:eastAsia="Times New Roman" w:cs="Arial"/>
                <w:color w:val="000000"/>
                <w:sz w:val="24"/>
                <w:szCs w:val="24"/>
              </w:rPr>
            </w:pPr>
            <w:r w:rsidRPr="003D1702">
              <w:rPr>
                <w:rFonts w:eastAsia="Times New Roman" w:cs="Arial"/>
                <w:color w:val="000000"/>
                <w:sz w:val="24"/>
                <w:szCs w:val="24"/>
              </w:rPr>
              <w:t xml:space="preserve">Range </w:t>
            </w:r>
            <w:r w:rsidR="007A586D">
              <w:rPr>
                <w:rFonts w:eastAsia="Times New Roman" w:cs="Arial"/>
                <w:color w:val="000000"/>
                <w:sz w:val="24"/>
                <w:szCs w:val="24"/>
              </w:rPr>
              <w:br/>
            </w:r>
            <w:r w:rsidRPr="003D1702">
              <w:rPr>
                <w:rFonts w:eastAsia="Times New Roman" w:cs="Arial"/>
                <w:color w:val="000000"/>
                <w:sz w:val="24"/>
                <w:szCs w:val="24"/>
              </w:rPr>
              <w:t xml:space="preserve">(Minimum, Maximum) </w:t>
            </w:r>
            <w:r w:rsidRPr="003D1702">
              <w:rPr>
                <w:rFonts w:eastAsia="Times New Roman" w:cs="Arial"/>
                <w:i/>
                <w:iCs/>
                <w:color w:val="000000"/>
                <w:sz w:val="24"/>
                <w:szCs w:val="24"/>
              </w:rPr>
              <w:t>(From Table 1, row 4: Minimum and maximum across all units)</w:t>
            </w:r>
          </w:p>
        </w:tc>
        <w:tc>
          <w:tcPr>
            <w:tcW w:w="100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29"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73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99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8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425"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r>
      <w:tr w:rsidR="00624E05" w:rsidRPr="00DC6D46" w:rsidTr="00624E05">
        <w:trPr>
          <w:trHeight w:val="615"/>
        </w:trPr>
        <w:tc>
          <w:tcPr>
            <w:tcW w:w="1635" w:type="dxa"/>
            <w:vMerge/>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2543" w:type="dxa"/>
          </w:tcPr>
          <w:p w:rsidR="00624E05" w:rsidRPr="00DC6D46" w:rsidRDefault="003D1702" w:rsidP="00C719A1">
            <w:pPr>
              <w:spacing w:after="0" w:line="240" w:lineRule="auto"/>
              <w:rPr>
                <w:rFonts w:eastAsia="Times New Roman" w:cs="Arial"/>
                <w:color w:val="000000"/>
                <w:sz w:val="24"/>
                <w:szCs w:val="24"/>
              </w:rPr>
            </w:pPr>
            <w:r w:rsidRPr="003D1702">
              <w:rPr>
                <w:rFonts w:eastAsia="Times New Roman" w:cs="Arial"/>
                <w:color w:val="000000"/>
                <w:sz w:val="24"/>
                <w:szCs w:val="24"/>
              </w:rPr>
              <w:t xml:space="preserve">Average </w:t>
            </w:r>
            <w:r w:rsidR="007A586D">
              <w:rPr>
                <w:rFonts w:eastAsia="Times New Roman" w:cs="Arial"/>
                <w:color w:val="000000"/>
                <w:sz w:val="24"/>
                <w:szCs w:val="24"/>
              </w:rPr>
              <w:br/>
            </w:r>
            <w:r w:rsidRPr="003D1702">
              <w:rPr>
                <w:rFonts w:eastAsia="Times New Roman" w:cs="Arial"/>
                <w:i/>
                <w:iCs/>
                <w:color w:val="000000"/>
                <w:sz w:val="24"/>
                <w:szCs w:val="24"/>
              </w:rPr>
              <w:t>(From Table 1, row 4: Average of all units)</w:t>
            </w:r>
          </w:p>
        </w:tc>
        <w:tc>
          <w:tcPr>
            <w:tcW w:w="100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29"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73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99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8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425"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r>
      <w:tr w:rsidR="00624E05" w:rsidRPr="00DC6D46" w:rsidTr="00624E05">
        <w:trPr>
          <w:trHeight w:val="615"/>
        </w:trPr>
        <w:tc>
          <w:tcPr>
            <w:tcW w:w="1635" w:type="dxa"/>
            <w:vMerge w:val="restart"/>
            <w:shd w:val="clear" w:color="auto" w:fill="auto"/>
            <w:hideMark/>
          </w:tcPr>
          <w:p w:rsidR="00624E05" w:rsidRDefault="00624E05" w:rsidP="008A13F4">
            <w:pPr>
              <w:spacing w:after="0" w:line="240" w:lineRule="auto"/>
              <w:rPr>
                <w:sz w:val="24"/>
                <w:szCs w:val="24"/>
              </w:rPr>
            </w:pPr>
          </w:p>
          <w:p w:rsidR="00624E05" w:rsidRPr="00DC6D46" w:rsidRDefault="003D1702" w:rsidP="008A13F4">
            <w:pPr>
              <w:spacing w:after="0" w:line="240" w:lineRule="auto"/>
              <w:rPr>
                <w:rFonts w:eastAsia="Times New Roman" w:cs="Arial"/>
                <w:color w:val="000000"/>
                <w:sz w:val="24"/>
                <w:szCs w:val="24"/>
              </w:rPr>
            </w:pPr>
            <w:r w:rsidRPr="003D1702">
              <w:rPr>
                <w:sz w:val="24"/>
                <w:szCs w:val="24"/>
              </w:rPr>
              <w:t xml:space="preserve">Any non-intact paint </w:t>
            </w:r>
            <w:r w:rsidRPr="003D1702">
              <w:rPr>
                <w:rFonts w:eastAsia="Times New Roman" w:cs="Arial"/>
                <w:color w:val="000000"/>
                <w:sz w:val="24"/>
                <w:szCs w:val="24"/>
              </w:rPr>
              <w:t>on specific component</w:t>
            </w:r>
          </w:p>
        </w:tc>
        <w:tc>
          <w:tcPr>
            <w:tcW w:w="2543" w:type="dxa"/>
          </w:tcPr>
          <w:p w:rsidR="00624E05" w:rsidRPr="00DC6D46" w:rsidRDefault="003D1702" w:rsidP="00936A16">
            <w:pPr>
              <w:spacing w:after="0" w:line="240" w:lineRule="auto"/>
              <w:rPr>
                <w:rFonts w:eastAsia="Times New Roman" w:cs="Arial"/>
                <w:color w:val="000000"/>
                <w:sz w:val="24"/>
                <w:szCs w:val="24"/>
              </w:rPr>
            </w:pPr>
            <w:r w:rsidRPr="003D1702">
              <w:rPr>
                <w:rFonts w:eastAsia="Times New Roman" w:cs="Arial"/>
                <w:color w:val="000000"/>
                <w:sz w:val="24"/>
                <w:szCs w:val="24"/>
              </w:rPr>
              <w:t xml:space="preserve">Total </w:t>
            </w:r>
            <w:r w:rsidR="007A586D">
              <w:rPr>
                <w:rFonts w:eastAsia="Times New Roman" w:cs="Arial"/>
                <w:color w:val="000000"/>
                <w:sz w:val="24"/>
                <w:szCs w:val="24"/>
              </w:rPr>
              <w:br/>
            </w:r>
            <w:r w:rsidRPr="003D1702">
              <w:rPr>
                <w:rFonts w:eastAsia="Times New Roman" w:cs="Arial"/>
                <w:i/>
                <w:iCs/>
                <w:color w:val="000000"/>
                <w:sz w:val="24"/>
                <w:szCs w:val="24"/>
              </w:rPr>
              <w:t xml:space="preserve">(From Table 1, row 5: Count the number of “Yes” </w:t>
            </w:r>
            <w:r w:rsidR="00542405">
              <w:rPr>
                <w:rFonts w:eastAsia="Times New Roman" w:cs="Arial"/>
                <w:i/>
                <w:iCs/>
                <w:color w:val="000000"/>
                <w:sz w:val="24"/>
                <w:szCs w:val="24"/>
              </w:rPr>
              <w:t xml:space="preserve">replies </w:t>
            </w:r>
            <w:r w:rsidRPr="003D1702">
              <w:rPr>
                <w:rFonts w:eastAsia="Times New Roman" w:cs="Arial"/>
                <w:i/>
                <w:iCs/>
                <w:color w:val="000000"/>
                <w:sz w:val="24"/>
                <w:szCs w:val="24"/>
              </w:rPr>
              <w:t>across all units)</w:t>
            </w:r>
          </w:p>
        </w:tc>
        <w:tc>
          <w:tcPr>
            <w:tcW w:w="100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29"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73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99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8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425"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r>
      <w:tr w:rsidR="00624E05" w:rsidRPr="00DC6D46" w:rsidTr="00624E05">
        <w:trPr>
          <w:trHeight w:val="615"/>
        </w:trPr>
        <w:tc>
          <w:tcPr>
            <w:tcW w:w="1635" w:type="dxa"/>
            <w:vMerge/>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2543" w:type="dxa"/>
          </w:tcPr>
          <w:p w:rsidR="00624E05" w:rsidRPr="00DC6D46" w:rsidRDefault="003D1702" w:rsidP="00FA1970">
            <w:pPr>
              <w:spacing w:after="0" w:line="240" w:lineRule="auto"/>
              <w:rPr>
                <w:rFonts w:eastAsia="Times New Roman" w:cs="Arial"/>
                <w:color w:val="000000"/>
                <w:sz w:val="24"/>
                <w:szCs w:val="24"/>
              </w:rPr>
            </w:pPr>
            <w:r w:rsidRPr="003D1702">
              <w:rPr>
                <w:rFonts w:eastAsia="Times New Roman" w:cs="Arial"/>
                <w:color w:val="000000"/>
                <w:sz w:val="24"/>
                <w:szCs w:val="24"/>
              </w:rPr>
              <w:t xml:space="preserve">Total </w:t>
            </w:r>
            <w:r w:rsidR="007A586D">
              <w:rPr>
                <w:rFonts w:eastAsia="Times New Roman" w:cs="Arial"/>
                <w:color w:val="000000"/>
                <w:sz w:val="24"/>
                <w:szCs w:val="24"/>
              </w:rPr>
              <w:br/>
            </w:r>
            <w:bookmarkStart w:id="0" w:name="_GoBack"/>
            <w:bookmarkEnd w:id="0"/>
            <w:r w:rsidRPr="003D1702">
              <w:rPr>
                <w:rFonts w:eastAsia="Times New Roman" w:cs="Arial"/>
                <w:i/>
                <w:iCs/>
                <w:color w:val="000000"/>
                <w:sz w:val="24"/>
                <w:szCs w:val="24"/>
              </w:rPr>
              <w:t>(From Table 1, row 5: Percent</w:t>
            </w:r>
            <w:r w:rsidR="00542405">
              <w:rPr>
                <w:rFonts w:eastAsia="Times New Roman" w:cs="Arial"/>
                <w:i/>
                <w:iCs/>
                <w:color w:val="000000"/>
                <w:sz w:val="24"/>
                <w:szCs w:val="24"/>
              </w:rPr>
              <w:t>age</w:t>
            </w:r>
            <w:r w:rsidRPr="003D1702">
              <w:rPr>
                <w:rFonts w:eastAsia="Times New Roman" w:cs="Arial"/>
                <w:i/>
                <w:iCs/>
                <w:color w:val="000000"/>
                <w:sz w:val="24"/>
                <w:szCs w:val="24"/>
              </w:rPr>
              <w:t xml:space="preserve"> of “Yes” across all units)</w:t>
            </w:r>
          </w:p>
        </w:tc>
        <w:tc>
          <w:tcPr>
            <w:tcW w:w="100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29"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734"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99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08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260"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c>
          <w:tcPr>
            <w:tcW w:w="1425" w:type="dxa"/>
            <w:shd w:val="clear" w:color="auto" w:fill="auto"/>
            <w:hideMark/>
          </w:tcPr>
          <w:p w:rsidR="00624E05" w:rsidRPr="00DC6D46" w:rsidRDefault="00624E05" w:rsidP="00FA1970">
            <w:pPr>
              <w:spacing w:after="0" w:line="240" w:lineRule="auto"/>
              <w:rPr>
                <w:rFonts w:eastAsia="Times New Roman" w:cs="Arial"/>
                <w:color w:val="000000"/>
                <w:sz w:val="24"/>
                <w:szCs w:val="24"/>
              </w:rPr>
            </w:pPr>
          </w:p>
        </w:tc>
      </w:tr>
    </w:tbl>
    <w:p w:rsidR="00660559" w:rsidRPr="00DC6D46" w:rsidRDefault="003D1702" w:rsidP="00660559">
      <w:pPr>
        <w:rPr>
          <w:rFonts w:eastAsia="Times New Roman" w:cs="Arial"/>
          <w:color w:val="000000"/>
          <w:sz w:val="24"/>
          <w:szCs w:val="24"/>
        </w:rPr>
      </w:pPr>
      <w:r w:rsidRPr="003D1702">
        <w:rPr>
          <w:rFonts w:eastAsia="Times New Roman" w:cs="Arial"/>
          <w:color w:val="000000"/>
          <w:sz w:val="24"/>
          <w:szCs w:val="24"/>
        </w:rPr>
        <w:t>A = Combining window interior sills and sashes with window troughs, jambs</w:t>
      </w:r>
      <w:r w:rsidR="00BC6178">
        <w:rPr>
          <w:rFonts w:eastAsia="Times New Roman" w:cs="Arial"/>
          <w:color w:val="000000"/>
          <w:sz w:val="24"/>
          <w:szCs w:val="24"/>
        </w:rPr>
        <w:t>,</w:t>
      </w:r>
      <w:r w:rsidRPr="003D1702">
        <w:rPr>
          <w:rFonts w:eastAsia="Times New Roman" w:cs="Arial"/>
          <w:color w:val="000000"/>
          <w:sz w:val="24"/>
          <w:szCs w:val="24"/>
        </w:rPr>
        <w:t xml:space="preserve"> and exterior sashes</w:t>
      </w:r>
    </w:p>
    <w:p w:rsidR="00163F19" w:rsidRDefault="00163F19" w:rsidP="00660559">
      <w:pPr>
        <w:rPr>
          <w:sz w:val="24"/>
          <w:szCs w:val="24"/>
        </w:rPr>
        <w:sectPr w:rsidR="00163F19" w:rsidSect="009F497B">
          <w:pgSz w:w="15840" w:h="12240" w:orient="landscape"/>
          <w:pgMar w:top="1440" w:right="1440" w:bottom="1440" w:left="1440" w:header="720" w:footer="720" w:gutter="0"/>
          <w:cols w:space="720"/>
          <w:docGrid w:linePitch="360"/>
        </w:sectPr>
      </w:pPr>
    </w:p>
    <w:p w:rsidR="00C16984" w:rsidRDefault="00C16984" w:rsidP="00163F19">
      <w:pPr>
        <w:rPr>
          <w:b/>
          <w:sz w:val="24"/>
          <w:szCs w:val="24"/>
        </w:rPr>
      </w:pPr>
    </w:p>
    <w:p w:rsidR="00163F19" w:rsidRPr="00C16984" w:rsidRDefault="00163F19" w:rsidP="00163F19">
      <w:pPr>
        <w:rPr>
          <w:b/>
          <w:color w:val="6B4B1E"/>
          <w:sz w:val="24"/>
          <w:szCs w:val="24"/>
        </w:rPr>
      </w:pPr>
      <w:r w:rsidRPr="00C16984">
        <w:rPr>
          <w:b/>
          <w:color w:val="6B4B1E"/>
          <w:sz w:val="24"/>
          <w:szCs w:val="24"/>
        </w:rPr>
        <w:t>Step 3: Compare the results of the baseline and post-remediation periods:</w:t>
      </w:r>
    </w:p>
    <w:p w:rsidR="00163F19" w:rsidRDefault="00163F19" w:rsidP="00C16984">
      <w:pPr>
        <w:pStyle w:val="ListParagraph"/>
        <w:numPr>
          <w:ilvl w:val="0"/>
          <w:numId w:val="4"/>
        </w:numPr>
        <w:ind w:left="360"/>
        <w:rPr>
          <w:sz w:val="24"/>
          <w:szCs w:val="24"/>
        </w:rPr>
      </w:pPr>
      <w:r w:rsidRPr="003D1702">
        <w:rPr>
          <w:sz w:val="24"/>
          <w:szCs w:val="24"/>
        </w:rPr>
        <w:t xml:space="preserve">At this point, you should have a separate version of </w:t>
      </w:r>
      <w:r w:rsidR="00BC6178">
        <w:rPr>
          <w:sz w:val="24"/>
          <w:szCs w:val="24"/>
        </w:rPr>
        <w:t>t</w:t>
      </w:r>
      <w:r w:rsidR="00BC6178" w:rsidRPr="003D1702">
        <w:rPr>
          <w:sz w:val="24"/>
          <w:szCs w:val="24"/>
        </w:rPr>
        <w:t>able</w:t>
      </w:r>
      <w:r w:rsidR="00BC6178">
        <w:rPr>
          <w:sz w:val="24"/>
          <w:szCs w:val="24"/>
        </w:rPr>
        <w:t>s</w:t>
      </w:r>
      <w:r w:rsidR="00BC6178" w:rsidRPr="003D1702">
        <w:rPr>
          <w:sz w:val="24"/>
          <w:szCs w:val="24"/>
        </w:rPr>
        <w:t xml:space="preserve"> </w:t>
      </w:r>
      <w:r w:rsidRPr="003D1702">
        <w:rPr>
          <w:sz w:val="24"/>
          <w:szCs w:val="24"/>
        </w:rPr>
        <w:t xml:space="preserve">2 and 3 for each period (baseline and post-remediation). </w:t>
      </w:r>
    </w:p>
    <w:p w:rsidR="00163F19" w:rsidRDefault="00163F19" w:rsidP="00C16984">
      <w:pPr>
        <w:pStyle w:val="ListParagraph"/>
        <w:numPr>
          <w:ilvl w:val="0"/>
          <w:numId w:val="4"/>
        </w:numPr>
        <w:ind w:left="360"/>
        <w:rPr>
          <w:sz w:val="24"/>
          <w:szCs w:val="24"/>
        </w:rPr>
      </w:pPr>
      <w:r>
        <w:rPr>
          <w:sz w:val="24"/>
          <w:szCs w:val="24"/>
        </w:rPr>
        <w:t xml:space="preserve">Compare the information in the tables for the two periods (baseline and post-remediation) by considering </w:t>
      </w:r>
      <w:r w:rsidR="00BC6178">
        <w:rPr>
          <w:sz w:val="24"/>
          <w:szCs w:val="24"/>
        </w:rPr>
        <w:t xml:space="preserve">such </w:t>
      </w:r>
      <w:r>
        <w:rPr>
          <w:sz w:val="24"/>
          <w:szCs w:val="24"/>
        </w:rPr>
        <w:t xml:space="preserve">questions as: </w:t>
      </w:r>
    </w:p>
    <w:p w:rsidR="00163F19" w:rsidRDefault="00163F19" w:rsidP="00C16984">
      <w:pPr>
        <w:pStyle w:val="ListParagraph"/>
        <w:numPr>
          <w:ilvl w:val="1"/>
          <w:numId w:val="4"/>
        </w:numPr>
        <w:ind w:left="720"/>
        <w:rPr>
          <w:sz w:val="24"/>
          <w:szCs w:val="24"/>
        </w:rPr>
      </w:pPr>
      <w:r>
        <w:rPr>
          <w:sz w:val="24"/>
          <w:szCs w:val="24"/>
        </w:rPr>
        <w:t xml:space="preserve">What is the average number of rooms with non-intact paint on any component at the two periods? </w:t>
      </w:r>
    </w:p>
    <w:p w:rsidR="00163F19" w:rsidRDefault="00163F19" w:rsidP="00C16984">
      <w:pPr>
        <w:pStyle w:val="ListParagraph"/>
        <w:numPr>
          <w:ilvl w:val="1"/>
          <w:numId w:val="4"/>
        </w:numPr>
        <w:ind w:left="720"/>
        <w:rPr>
          <w:sz w:val="24"/>
          <w:szCs w:val="24"/>
        </w:rPr>
      </w:pPr>
      <w:r>
        <w:rPr>
          <w:sz w:val="24"/>
          <w:szCs w:val="24"/>
        </w:rPr>
        <w:t>What is the average number of rooms with non-intact paint on specific components at the two periods? Does it appear that paint on certain components (e.g., walls and ceilings) is intact in more rooms compared with other components (e.g.</w:t>
      </w:r>
      <w:r w:rsidR="00BC6178">
        <w:rPr>
          <w:sz w:val="24"/>
          <w:szCs w:val="24"/>
        </w:rPr>
        <w:t>,</w:t>
      </w:r>
      <w:r>
        <w:rPr>
          <w:sz w:val="24"/>
          <w:szCs w:val="24"/>
        </w:rPr>
        <w:t xml:space="preserve"> doors and windows) at post-remediation? What lessons does this provide for your existing protocols?</w:t>
      </w:r>
    </w:p>
    <w:p w:rsidR="00163F19" w:rsidRDefault="00163F19" w:rsidP="00C16984">
      <w:pPr>
        <w:pStyle w:val="ListParagraph"/>
        <w:numPr>
          <w:ilvl w:val="1"/>
          <w:numId w:val="4"/>
        </w:numPr>
        <w:ind w:left="720"/>
        <w:rPr>
          <w:sz w:val="24"/>
          <w:szCs w:val="24"/>
        </w:rPr>
      </w:pPr>
      <w:r>
        <w:rPr>
          <w:sz w:val="24"/>
          <w:szCs w:val="24"/>
        </w:rPr>
        <w:t xml:space="preserve">What </w:t>
      </w:r>
      <w:proofErr w:type="gramStart"/>
      <w:r>
        <w:rPr>
          <w:sz w:val="24"/>
          <w:szCs w:val="24"/>
        </w:rPr>
        <w:t>percentage of rooms have</w:t>
      </w:r>
      <w:proofErr w:type="gramEnd"/>
      <w:r>
        <w:rPr>
          <w:sz w:val="24"/>
          <w:szCs w:val="24"/>
        </w:rPr>
        <w:t xml:space="preserve"> non-intact paint on any component at the two periods? Do you notice large differences in the percentage of rooms with non-intact paint on certain components at the two periods? </w:t>
      </w:r>
    </w:p>
    <w:p w:rsidR="00F14D44" w:rsidRPr="00DC6D46" w:rsidRDefault="00F14D44" w:rsidP="00660559">
      <w:pPr>
        <w:rPr>
          <w:sz w:val="24"/>
          <w:szCs w:val="24"/>
        </w:rPr>
      </w:pPr>
    </w:p>
    <w:sectPr w:rsidR="00F14D44" w:rsidRPr="00DC6D46" w:rsidSect="00163F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40" w:rsidRDefault="001D0C40" w:rsidP="00E76B33">
      <w:pPr>
        <w:spacing w:after="0" w:line="240" w:lineRule="auto"/>
      </w:pPr>
      <w:r>
        <w:separator/>
      </w:r>
    </w:p>
  </w:endnote>
  <w:endnote w:type="continuationSeparator" w:id="0">
    <w:p w:rsidR="001D0C40" w:rsidRDefault="001D0C40" w:rsidP="00E7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1747150"/>
      <w:docPartObj>
        <w:docPartGallery w:val="Page Numbers (Bottom of Page)"/>
        <w:docPartUnique/>
      </w:docPartObj>
    </w:sdtPr>
    <w:sdtEndPr/>
    <w:sdtContent>
      <w:p w:rsidR="00E76B33" w:rsidRPr="00C16984" w:rsidRDefault="008C1E0D" w:rsidP="00C16984">
        <w:pPr>
          <w:pStyle w:val="Footer"/>
          <w:jc w:val="right"/>
          <w:rPr>
            <w:color w:val="6B4B1E"/>
          </w:rPr>
        </w:pPr>
        <w:r>
          <w:rPr>
            <w:caps/>
            <w:color w:val="6B4B1E"/>
            <w:sz w:val="20"/>
            <w:szCs w:val="20"/>
          </w:rPr>
          <w:t xml:space="preserve">ATTACHMENT B.1: </w:t>
        </w:r>
        <w:r w:rsidRPr="00E4269B">
          <w:rPr>
            <w:caps/>
            <w:color w:val="6B4B1E"/>
            <w:sz w:val="20"/>
            <w:szCs w:val="20"/>
          </w:rPr>
          <w:t xml:space="preserve">Suggested Methods for Analyzing </w:t>
        </w:r>
        <w:r>
          <w:rPr>
            <w:caps/>
            <w:color w:val="6B4B1E"/>
            <w:sz w:val="20"/>
            <w:szCs w:val="20"/>
          </w:rPr>
          <w:t>Visual assessment</w:t>
        </w:r>
        <w:r w:rsidRPr="00E4269B">
          <w:rPr>
            <w:caps/>
            <w:color w:val="6B4B1E"/>
            <w:sz w:val="20"/>
            <w:szCs w:val="20"/>
          </w:rPr>
          <w:t xml:space="preserve"> Data</w:t>
        </w:r>
        <w:r w:rsidRPr="00E4269B">
          <w:rPr>
            <w:color w:val="6B4B1E"/>
          </w:rPr>
          <w:t xml:space="preserve"> </w:t>
        </w:r>
        <w:r w:rsidRPr="00E4269B">
          <w:rPr>
            <w:color w:val="6B4B1E"/>
            <w:sz w:val="20"/>
          </w:rPr>
          <w:t xml:space="preserve">| </w:t>
        </w:r>
        <w:r w:rsidRPr="00E4269B">
          <w:rPr>
            <w:color w:val="6B4B1E"/>
            <w:sz w:val="20"/>
          </w:rPr>
          <w:fldChar w:fldCharType="begin"/>
        </w:r>
        <w:r w:rsidRPr="00E4269B">
          <w:rPr>
            <w:color w:val="6B4B1E"/>
            <w:sz w:val="20"/>
          </w:rPr>
          <w:instrText xml:space="preserve"> PAGE   \* MERGEFORMAT </w:instrText>
        </w:r>
        <w:r w:rsidRPr="00E4269B">
          <w:rPr>
            <w:color w:val="6B4B1E"/>
            <w:sz w:val="20"/>
          </w:rPr>
          <w:fldChar w:fldCharType="separate"/>
        </w:r>
        <w:r w:rsidR="007A586D">
          <w:rPr>
            <w:noProof/>
            <w:color w:val="6B4B1E"/>
            <w:sz w:val="20"/>
          </w:rPr>
          <w:t>6</w:t>
        </w:r>
        <w:r w:rsidRPr="00E4269B">
          <w:rPr>
            <w:noProof/>
            <w:color w:val="6B4B1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40" w:rsidRDefault="001D0C40" w:rsidP="00E76B33">
      <w:pPr>
        <w:spacing w:after="0" w:line="240" w:lineRule="auto"/>
      </w:pPr>
      <w:r>
        <w:separator/>
      </w:r>
    </w:p>
  </w:footnote>
  <w:footnote w:type="continuationSeparator" w:id="0">
    <w:p w:rsidR="001D0C40" w:rsidRDefault="001D0C40" w:rsidP="00E76B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E0D" w:rsidRDefault="008C1E0D">
    <w:pPr>
      <w:pStyle w:val="Header"/>
    </w:pPr>
    <w:r w:rsidRPr="00C02383">
      <w:rPr>
        <w:noProof/>
      </w:rPr>
      <w:drawing>
        <wp:anchor distT="0" distB="0" distL="114300" distR="114300" simplePos="0" relativeHeight="251658752" behindDoc="0" locked="0" layoutInCell="1" allowOverlap="1" wp14:anchorId="4135DE14" wp14:editId="4A9589AB">
          <wp:simplePos x="0" y="0"/>
          <wp:positionH relativeFrom="margin">
            <wp:posOffset>-26035</wp:posOffset>
          </wp:positionH>
          <wp:positionV relativeFrom="margin">
            <wp:posOffset>-485775</wp:posOffset>
          </wp:positionV>
          <wp:extent cx="1930400" cy="46736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tional Center for Healthy Housing 2016.png"/>
                  <pic:cNvPicPr/>
                </pic:nvPicPr>
                <pic:blipFill>
                  <a:blip r:embed="rId1">
                    <a:extLst>
                      <a:ext uri="{28A0092B-C50C-407E-A947-70E740481C1C}">
                        <a14:useLocalDpi xmlns:a14="http://schemas.microsoft.com/office/drawing/2010/main" val="0"/>
                      </a:ext>
                    </a:extLst>
                  </a:blip>
                  <a:stretch>
                    <a:fillRect/>
                  </a:stretch>
                </pic:blipFill>
                <pic:spPr>
                  <a:xfrm>
                    <a:off x="0" y="0"/>
                    <a:ext cx="1930400" cy="46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4A0"/>
    <w:multiLevelType w:val="hybridMultilevel"/>
    <w:tmpl w:val="312A8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551ED"/>
    <w:multiLevelType w:val="hybridMultilevel"/>
    <w:tmpl w:val="1C0C4030"/>
    <w:lvl w:ilvl="0" w:tplc="7F3EEA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C2489"/>
    <w:multiLevelType w:val="hybridMultilevel"/>
    <w:tmpl w:val="8A428A8A"/>
    <w:lvl w:ilvl="0" w:tplc="C9F09A2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2426B"/>
    <w:multiLevelType w:val="hybridMultilevel"/>
    <w:tmpl w:val="6CFC8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D4"/>
    <w:rsid w:val="0001486E"/>
    <w:rsid w:val="00015856"/>
    <w:rsid w:val="0004200C"/>
    <w:rsid w:val="00042328"/>
    <w:rsid w:val="00047ECE"/>
    <w:rsid w:val="00056E14"/>
    <w:rsid w:val="0007626C"/>
    <w:rsid w:val="00085632"/>
    <w:rsid w:val="00097A48"/>
    <w:rsid w:val="000A58F6"/>
    <w:rsid w:val="000B0768"/>
    <w:rsid w:val="000B15C8"/>
    <w:rsid w:val="000B31A1"/>
    <w:rsid w:val="000C44FD"/>
    <w:rsid w:val="000C47E9"/>
    <w:rsid w:val="000D5E26"/>
    <w:rsid w:val="000D5F6F"/>
    <w:rsid w:val="000E2DAA"/>
    <w:rsid w:val="000F5C79"/>
    <w:rsid w:val="000F649B"/>
    <w:rsid w:val="000F6D5D"/>
    <w:rsid w:val="001000E7"/>
    <w:rsid w:val="00104C0B"/>
    <w:rsid w:val="00106A88"/>
    <w:rsid w:val="00110EC0"/>
    <w:rsid w:val="001119DA"/>
    <w:rsid w:val="00112490"/>
    <w:rsid w:val="00115F59"/>
    <w:rsid w:val="0012698A"/>
    <w:rsid w:val="00145849"/>
    <w:rsid w:val="001509EC"/>
    <w:rsid w:val="001543AE"/>
    <w:rsid w:val="00161C97"/>
    <w:rsid w:val="00163F19"/>
    <w:rsid w:val="00166010"/>
    <w:rsid w:val="00167D91"/>
    <w:rsid w:val="00173E3C"/>
    <w:rsid w:val="00187D20"/>
    <w:rsid w:val="00187D35"/>
    <w:rsid w:val="00190474"/>
    <w:rsid w:val="001909EE"/>
    <w:rsid w:val="00190BCC"/>
    <w:rsid w:val="001A5011"/>
    <w:rsid w:val="001B1881"/>
    <w:rsid w:val="001B71E1"/>
    <w:rsid w:val="001C426C"/>
    <w:rsid w:val="001C5AE0"/>
    <w:rsid w:val="001D0C40"/>
    <w:rsid w:val="001E3C4E"/>
    <w:rsid w:val="001F5CCD"/>
    <w:rsid w:val="00207655"/>
    <w:rsid w:val="00207C91"/>
    <w:rsid w:val="002205E2"/>
    <w:rsid w:val="00224190"/>
    <w:rsid w:val="00224A04"/>
    <w:rsid w:val="00233E9E"/>
    <w:rsid w:val="00234541"/>
    <w:rsid w:val="002510AC"/>
    <w:rsid w:val="00254FAC"/>
    <w:rsid w:val="00270066"/>
    <w:rsid w:val="00283218"/>
    <w:rsid w:val="00293F67"/>
    <w:rsid w:val="0029438A"/>
    <w:rsid w:val="002969D4"/>
    <w:rsid w:val="002A0856"/>
    <w:rsid w:val="002A1F98"/>
    <w:rsid w:val="002A4C7C"/>
    <w:rsid w:val="002B57A7"/>
    <w:rsid w:val="002C1C25"/>
    <w:rsid w:val="002C4D81"/>
    <w:rsid w:val="002C54BF"/>
    <w:rsid w:val="002D73E8"/>
    <w:rsid w:val="002E3588"/>
    <w:rsid w:val="002E5D46"/>
    <w:rsid w:val="003006C6"/>
    <w:rsid w:val="00312696"/>
    <w:rsid w:val="003152FA"/>
    <w:rsid w:val="0031546E"/>
    <w:rsid w:val="00316D22"/>
    <w:rsid w:val="00322584"/>
    <w:rsid w:val="003228C6"/>
    <w:rsid w:val="00323C44"/>
    <w:rsid w:val="00326EAD"/>
    <w:rsid w:val="00333A53"/>
    <w:rsid w:val="00344B71"/>
    <w:rsid w:val="00347991"/>
    <w:rsid w:val="00353271"/>
    <w:rsid w:val="00354EEE"/>
    <w:rsid w:val="00373D4F"/>
    <w:rsid w:val="00377D4D"/>
    <w:rsid w:val="00384EA6"/>
    <w:rsid w:val="003A3C4A"/>
    <w:rsid w:val="003A4F29"/>
    <w:rsid w:val="003A7AE4"/>
    <w:rsid w:val="003B1CE8"/>
    <w:rsid w:val="003D1702"/>
    <w:rsid w:val="003D6977"/>
    <w:rsid w:val="003E2AB7"/>
    <w:rsid w:val="003F0889"/>
    <w:rsid w:val="00400079"/>
    <w:rsid w:val="00401F9C"/>
    <w:rsid w:val="00405599"/>
    <w:rsid w:val="00414293"/>
    <w:rsid w:val="00423CC3"/>
    <w:rsid w:val="00431ED1"/>
    <w:rsid w:val="0043379D"/>
    <w:rsid w:val="00454538"/>
    <w:rsid w:val="00456D32"/>
    <w:rsid w:val="004643E7"/>
    <w:rsid w:val="004830B2"/>
    <w:rsid w:val="00483D55"/>
    <w:rsid w:val="0049371D"/>
    <w:rsid w:val="00494E16"/>
    <w:rsid w:val="004A4C82"/>
    <w:rsid w:val="004A5BB6"/>
    <w:rsid w:val="004B0F5B"/>
    <w:rsid w:val="004B4276"/>
    <w:rsid w:val="004B45FA"/>
    <w:rsid w:val="004B49DF"/>
    <w:rsid w:val="004B56F7"/>
    <w:rsid w:val="004D78F6"/>
    <w:rsid w:val="004F0484"/>
    <w:rsid w:val="004F45ED"/>
    <w:rsid w:val="004F65E7"/>
    <w:rsid w:val="005042B0"/>
    <w:rsid w:val="00515BAE"/>
    <w:rsid w:val="005232EC"/>
    <w:rsid w:val="00532079"/>
    <w:rsid w:val="00532EF4"/>
    <w:rsid w:val="005339F5"/>
    <w:rsid w:val="00542405"/>
    <w:rsid w:val="00544B72"/>
    <w:rsid w:val="0055013D"/>
    <w:rsid w:val="005514A3"/>
    <w:rsid w:val="00555D7C"/>
    <w:rsid w:val="00556A35"/>
    <w:rsid w:val="00561578"/>
    <w:rsid w:val="005708B6"/>
    <w:rsid w:val="00584B5D"/>
    <w:rsid w:val="0058773F"/>
    <w:rsid w:val="00592073"/>
    <w:rsid w:val="005A6915"/>
    <w:rsid w:val="005D30BC"/>
    <w:rsid w:val="005D4873"/>
    <w:rsid w:val="005D6668"/>
    <w:rsid w:val="005E5D98"/>
    <w:rsid w:val="005F7AB6"/>
    <w:rsid w:val="00605E18"/>
    <w:rsid w:val="00624E05"/>
    <w:rsid w:val="00626A5D"/>
    <w:rsid w:val="00643A93"/>
    <w:rsid w:val="00646D0D"/>
    <w:rsid w:val="006478FE"/>
    <w:rsid w:val="006534D4"/>
    <w:rsid w:val="00660559"/>
    <w:rsid w:val="006726C4"/>
    <w:rsid w:val="00675CDC"/>
    <w:rsid w:val="00682CFA"/>
    <w:rsid w:val="00687DCD"/>
    <w:rsid w:val="0069766B"/>
    <w:rsid w:val="006A0F46"/>
    <w:rsid w:val="006A2B56"/>
    <w:rsid w:val="006A49BE"/>
    <w:rsid w:val="006A6A24"/>
    <w:rsid w:val="006C0F76"/>
    <w:rsid w:val="006F0551"/>
    <w:rsid w:val="00705D51"/>
    <w:rsid w:val="00705F55"/>
    <w:rsid w:val="00714CA6"/>
    <w:rsid w:val="00715503"/>
    <w:rsid w:val="007160D8"/>
    <w:rsid w:val="00725ECF"/>
    <w:rsid w:val="00732C0F"/>
    <w:rsid w:val="00737C0B"/>
    <w:rsid w:val="00741B4E"/>
    <w:rsid w:val="00744730"/>
    <w:rsid w:val="00745E0F"/>
    <w:rsid w:val="00755B32"/>
    <w:rsid w:val="00757547"/>
    <w:rsid w:val="00764C12"/>
    <w:rsid w:val="00777FF4"/>
    <w:rsid w:val="0078394C"/>
    <w:rsid w:val="007876CE"/>
    <w:rsid w:val="007920B0"/>
    <w:rsid w:val="007A1BBC"/>
    <w:rsid w:val="007A586D"/>
    <w:rsid w:val="007B36B0"/>
    <w:rsid w:val="007C1769"/>
    <w:rsid w:val="007C65D4"/>
    <w:rsid w:val="007C7086"/>
    <w:rsid w:val="007E4C89"/>
    <w:rsid w:val="007E6DEF"/>
    <w:rsid w:val="007F027B"/>
    <w:rsid w:val="007F2799"/>
    <w:rsid w:val="007F5EED"/>
    <w:rsid w:val="007F6958"/>
    <w:rsid w:val="00803EDC"/>
    <w:rsid w:val="00825534"/>
    <w:rsid w:val="008257A6"/>
    <w:rsid w:val="008269FA"/>
    <w:rsid w:val="008417AA"/>
    <w:rsid w:val="00846AC6"/>
    <w:rsid w:val="0085068D"/>
    <w:rsid w:val="00850A01"/>
    <w:rsid w:val="00862305"/>
    <w:rsid w:val="00863533"/>
    <w:rsid w:val="008705ED"/>
    <w:rsid w:val="00870CD1"/>
    <w:rsid w:val="00871476"/>
    <w:rsid w:val="0088108A"/>
    <w:rsid w:val="00886341"/>
    <w:rsid w:val="00887142"/>
    <w:rsid w:val="00896FDE"/>
    <w:rsid w:val="008A13F4"/>
    <w:rsid w:val="008A5531"/>
    <w:rsid w:val="008B3D7C"/>
    <w:rsid w:val="008C1E0D"/>
    <w:rsid w:val="008C2C42"/>
    <w:rsid w:val="008D5FE7"/>
    <w:rsid w:val="008E2F87"/>
    <w:rsid w:val="008F4976"/>
    <w:rsid w:val="008F5E81"/>
    <w:rsid w:val="008F667D"/>
    <w:rsid w:val="0092421A"/>
    <w:rsid w:val="00924413"/>
    <w:rsid w:val="009252AC"/>
    <w:rsid w:val="0092617D"/>
    <w:rsid w:val="00931CAD"/>
    <w:rsid w:val="00936A16"/>
    <w:rsid w:val="00944196"/>
    <w:rsid w:val="009474AD"/>
    <w:rsid w:val="00963EF1"/>
    <w:rsid w:val="0096590F"/>
    <w:rsid w:val="00965AA6"/>
    <w:rsid w:val="009671DF"/>
    <w:rsid w:val="00967B6D"/>
    <w:rsid w:val="00972729"/>
    <w:rsid w:val="00992FDE"/>
    <w:rsid w:val="0099470F"/>
    <w:rsid w:val="009B0B09"/>
    <w:rsid w:val="009C5406"/>
    <w:rsid w:val="009D37DA"/>
    <w:rsid w:val="009D41C4"/>
    <w:rsid w:val="009E48CD"/>
    <w:rsid w:val="009F3162"/>
    <w:rsid w:val="009F497B"/>
    <w:rsid w:val="009F7264"/>
    <w:rsid w:val="00A175FF"/>
    <w:rsid w:val="00A205D7"/>
    <w:rsid w:val="00A229B2"/>
    <w:rsid w:val="00A22EE7"/>
    <w:rsid w:val="00A45B94"/>
    <w:rsid w:val="00A6263C"/>
    <w:rsid w:val="00A70DEB"/>
    <w:rsid w:val="00A71944"/>
    <w:rsid w:val="00AA2958"/>
    <w:rsid w:val="00AC0BF0"/>
    <w:rsid w:val="00AC3978"/>
    <w:rsid w:val="00AC3DF7"/>
    <w:rsid w:val="00AD0049"/>
    <w:rsid w:val="00AD0CCB"/>
    <w:rsid w:val="00AD1DB2"/>
    <w:rsid w:val="00AD2179"/>
    <w:rsid w:val="00AF284F"/>
    <w:rsid w:val="00B01409"/>
    <w:rsid w:val="00B24448"/>
    <w:rsid w:val="00B25AA0"/>
    <w:rsid w:val="00B35D7E"/>
    <w:rsid w:val="00B41645"/>
    <w:rsid w:val="00B43C13"/>
    <w:rsid w:val="00B6166B"/>
    <w:rsid w:val="00B70D3F"/>
    <w:rsid w:val="00B72AEC"/>
    <w:rsid w:val="00B877DE"/>
    <w:rsid w:val="00B87BEB"/>
    <w:rsid w:val="00BA33EC"/>
    <w:rsid w:val="00BA5B8C"/>
    <w:rsid w:val="00BA7156"/>
    <w:rsid w:val="00BB048E"/>
    <w:rsid w:val="00BB4108"/>
    <w:rsid w:val="00BC0F89"/>
    <w:rsid w:val="00BC6178"/>
    <w:rsid w:val="00BD1810"/>
    <w:rsid w:val="00BD4EE1"/>
    <w:rsid w:val="00BD52D0"/>
    <w:rsid w:val="00BD5A17"/>
    <w:rsid w:val="00BD5B22"/>
    <w:rsid w:val="00BE23A8"/>
    <w:rsid w:val="00BE25BF"/>
    <w:rsid w:val="00BE44EF"/>
    <w:rsid w:val="00BE4AC3"/>
    <w:rsid w:val="00BF5BCA"/>
    <w:rsid w:val="00C01FA0"/>
    <w:rsid w:val="00C04DE8"/>
    <w:rsid w:val="00C12188"/>
    <w:rsid w:val="00C14710"/>
    <w:rsid w:val="00C14DA2"/>
    <w:rsid w:val="00C16984"/>
    <w:rsid w:val="00C20428"/>
    <w:rsid w:val="00C22F53"/>
    <w:rsid w:val="00C25BC9"/>
    <w:rsid w:val="00C3036B"/>
    <w:rsid w:val="00C3358C"/>
    <w:rsid w:val="00C47310"/>
    <w:rsid w:val="00C60F78"/>
    <w:rsid w:val="00C70219"/>
    <w:rsid w:val="00C737CF"/>
    <w:rsid w:val="00C808AF"/>
    <w:rsid w:val="00C808C0"/>
    <w:rsid w:val="00C94579"/>
    <w:rsid w:val="00CA6603"/>
    <w:rsid w:val="00CB5B13"/>
    <w:rsid w:val="00CE3765"/>
    <w:rsid w:val="00CE7003"/>
    <w:rsid w:val="00CE7E11"/>
    <w:rsid w:val="00CF0F6A"/>
    <w:rsid w:val="00D072EB"/>
    <w:rsid w:val="00D1320A"/>
    <w:rsid w:val="00D14F9A"/>
    <w:rsid w:val="00D176B2"/>
    <w:rsid w:val="00D179AA"/>
    <w:rsid w:val="00D56E22"/>
    <w:rsid w:val="00D835C0"/>
    <w:rsid w:val="00D94604"/>
    <w:rsid w:val="00D95E5A"/>
    <w:rsid w:val="00D9704B"/>
    <w:rsid w:val="00DA137B"/>
    <w:rsid w:val="00DA42B5"/>
    <w:rsid w:val="00DC25B5"/>
    <w:rsid w:val="00DC2E8E"/>
    <w:rsid w:val="00DC6D46"/>
    <w:rsid w:val="00DD3883"/>
    <w:rsid w:val="00DD6E79"/>
    <w:rsid w:val="00DE0C31"/>
    <w:rsid w:val="00DF04B7"/>
    <w:rsid w:val="00DF6D90"/>
    <w:rsid w:val="00E218B7"/>
    <w:rsid w:val="00E37F9A"/>
    <w:rsid w:val="00E41A6A"/>
    <w:rsid w:val="00E639A2"/>
    <w:rsid w:val="00E6612D"/>
    <w:rsid w:val="00E7326F"/>
    <w:rsid w:val="00E7564F"/>
    <w:rsid w:val="00E76B33"/>
    <w:rsid w:val="00E91BF3"/>
    <w:rsid w:val="00E95481"/>
    <w:rsid w:val="00EA4612"/>
    <w:rsid w:val="00EC0FF5"/>
    <w:rsid w:val="00EC1804"/>
    <w:rsid w:val="00EC47EB"/>
    <w:rsid w:val="00EC5652"/>
    <w:rsid w:val="00ED708C"/>
    <w:rsid w:val="00EE2294"/>
    <w:rsid w:val="00EF1D38"/>
    <w:rsid w:val="00F03A11"/>
    <w:rsid w:val="00F063EC"/>
    <w:rsid w:val="00F10C18"/>
    <w:rsid w:val="00F14D44"/>
    <w:rsid w:val="00F16731"/>
    <w:rsid w:val="00F471EF"/>
    <w:rsid w:val="00F56270"/>
    <w:rsid w:val="00F61962"/>
    <w:rsid w:val="00F75F68"/>
    <w:rsid w:val="00F81A67"/>
    <w:rsid w:val="00F96935"/>
    <w:rsid w:val="00FA19D9"/>
    <w:rsid w:val="00FB5D6D"/>
    <w:rsid w:val="00FE3CE0"/>
    <w:rsid w:val="00FF4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FE7561F2-C946-4357-BBE8-4F555657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799"/>
    <w:pPr>
      <w:ind w:left="720"/>
      <w:contextualSpacing/>
    </w:pPr>
  </w:style>
  <w:style w:type="table" w:styleId="TableGrid">
    <w:name w:val="Table Grid"/>
    <w:basedOn w:val="TableNormal"/>
    <w:uiPriority w:val="59"/>
    <w:rsid w:val="0052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6B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B33"/>
  </w:style>
  <w:style w:type="paragraph" w:styleId="Footer">
    <w:name w:val="footer"/>
    <w:basedOn w:val="Normal"/>
    <w:link w:val="FooterChar"/>
    <w:uiPriority w:val="99"/>
    <w:unhideWhenUsed/>
    <w:rsid w:val="00E76B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B33"/>
  </w:style>
  <w:style w:type="paragraph" w:styleId="BalloonText">
    <w:name w:val="Balloon Text"/>
    <w:basedOn w:val="Normal"/>
    <w:link w:val="BalloonTextChar"/>
    <w:uiPriority w:val="99"/>
    <w:semiHidden/>
    <w:unhideWhenUsed/>
    <w:rsid w:val="00F5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270"/>
    <w:rPr>
      <w:rFonts w:ascii="Tahoma" w:hAnsi="Tahoma" w:cs="Tahoma"/>
      <w:sz w:val="16"/>
      <w:szCs w:val="16"/>
    </w:rPr>
  </w:style>
  <w:style w:type="character" w:styleId="CommentReference">
    <w:name w:val="annotation reference"/>
    <w:basedOn w:val="DefaultParagraphFont"/>
    <w:uiPriority w:val="99"/>
    <w:semiHidden/>
    <w:unhideWhenUsed/>
    <w:rsid w:val="00F56270"/>
    <w:rPr>
      <w:sz w:val="16"/>
      <w:szCs w:val="16"/>
    </w:rPr>
  </w:style>
  <w:style w:type="paragraph" w:styleId="CommentText">
    <w:name w:val="annotation text"/>
    <w:basedOn w:val="Normal"/>
    <w:link w:val="CommentTextChar"/>
    <w:uiPriority w:val="99"/>
    <w:semiHidden/>
    <w:unhideWhenUsed/>
    <w:rsid w:val="00F56270"/>
    <w:pPr>
      <w:spacing w:line="240" w:lineRule="auto"/>
    </w:pPr>
    <w:rPr>
      <w:sz w:val="20"/>
      <w:szCs w:val="20"/>
    </w:rPr>
  </w:style>
  <w:style w:type="character" w:customStyle="1" w:styleId="CommentTextChar">
    <w:name w:val="Comment Text Char"/>
    <w:basedOn w:val="DefaultParagraphFont"/>
    <w:link w:val="CommentText"/>
    <w:uiPriority w:val="99"/>
    <w:semiHidden/>
    <w:rsid w:val="00F56270"/>
    <w:rPr>
      <w:sz w:val="20"/>
      <w:szCs w:val="20"/>
    </w:rPr>
  </w:style>
  <w:style w:type="paragraph" w:styleId="CommentSubject">
    <w:name w:val="annotation subject"/>
    <w:basedOn w:val="CommentText"/>
    <w:next w:val="CommentText"/>
    <w:link w:val="CommentSubjectChar"/>
    <w:uiPriority w:val="99"/>
    <w:semiHidden/>
    <w:unhideWhenUsed/>
    <w:rsid w:val="00F56270"/>
    <w:rPr>
      <w:b/>
      <w:bCs/>
    </w:rPr>
  </w:style>
  <w:style w:type="character" w:customStyle="1" w:styleId="CommentSubjectChar">
    <w:name w:val="Comment Subject Char"/>
    <w:basedOn w:val="CommentTextChar"/>
    <w:link w:val="CommentSubject"/>
    <w:uiPriority w:val="99"/>
    <w:semiHidden/>
    <w:rsid w:val="00F56270"/>
    <w:rPr>
      <w:b/>
      <w:bCs/>
      <w:sz w:val="20"/>
      <w:szCs w:val="20"/>
    </w:rPr>
  </w:style>
  <w:style w:type="paragraph" w:styleId="Revision">
    <w:name w:val="Revision"/>
    <w:hidden/>
    <w:uiPriority w:val="99"/>
    <w:semiHidden/>
    <w:rsid w:val="004B5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75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E670E3D-55CB-42F5-9091-DAE2410B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Enterprise Community</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sdixon</dc:creator>
  <cp:lastModifiedBy>Christopher Bloom</cp:lastModifiedBy>
  <cp:revision>3</cp:revision>
  <dcterms:created xsi:type="dcterms:W3CDTF">2018-12-20T19:09:00Z</dcterms:created>
  <dcterms:modified xsi:type="dcterms:W3CDTF">2019-01-15T16:23:00Z</dcterms:modified>
</cp:coreProperties>
</file>